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общественных и внешних связей ХМАО - Югры от 11.01.2021 N 1-нп</w:t>
              <w:br/>
              <w:t xml:space="preserve">(ред. от 19.06.2026)</w:t>
              <w:br/>
              <w:t xml:space="preserve">"Об утверждении Положения о региональном конкурсе инициативных проектов"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ОБЩЕСТВЕННЫХ И ВНЕШНИХ СВЯЗЕЙ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января 2021 г. N 1-нп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РЕГИОНАЛЬНОМ КОНКУРСЕ</w:t>
      </w:r>
    </w:p>
    <w:p>
      <w:pPr>
        <w:pStyle w:val="2"/>
        <w:jc w:val="center"/>
      </w:pPr>
      <w:r>
        <w:rPr>
          <w:sz w:val="24"/>
        </w:rPr>
        <w:t xml:space="preserve">ИНИЦИАТИВНЫХ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общественных и внешних связей ХМАО - Югры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09.04.2021 </w:t>
            </w:r>
            <w:hyperlink w:history="0" r:id="rId8" w:tooltip="Приказ Департамента общественных и внешних связей ХМАО - Югры от 09.04.2021 N 3-нп &quot;О внесении изменения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3-нп</w:t>
              </w:r>
            </w:hyperlink>
            <w:r>
              <w:rPr>
                <w:sz w:val="24"/>
                <w:color w:val="392c69"/>
              </w:rPr>
              <w:t xml:space="preserve">, от 22.02.2022 </w:t>
            </w:r>
            <w:hyperlink w:history="0" r:id="rId9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1-нп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0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Департамента общественных, внешних связей и молодежной политики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ХМАО - Югры от 31.01.2023 N 1-нп,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Департамента молодежной политики, гражданских инициатив и внешних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связей Югры от 21.12.2023 </w:t>
            </w:r>
            <w:hyperlink w:history="0" r:id="rId11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13-нп</w:t>
              </w:r>
            </w:hyperlink>
            <w:r>
              <w:rPr>
                <w:sz w:val="24"/>
                <w:color w:val="392c69"/>
              </w:rPr>
              <w:t xml:space="preserve">, от 20.02.2025 </w:t>
            </w:r>
            <w:hyperlink w:history="0" r:id="rId12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3-нп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12.12.2025 </w:t>
            </w:r>
            <w:hyperlink w:history="0" r:id="rId13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14-нп</w:t>
              </w:r>
            </w:hyperlink>
            <w:r>
              <w:rPr>
                <w:sz w:val="24"/>
                <w:color w:val="392c69"/>
              </w:rPr>
              <w:t xml:space="preserve">, от 19.06.2026 </w:t>
            </w:r>
            <w:hyperlink w:history="0" r:id="rId14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4-нп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w:history="0" r:id="rId16" w:tooltip="Постановление Правительства ХМАО - Югры от 27.12.2021 N 598-п (ред. от 22.06.2026) &quot;О мерах по реализации государственной программы Ханты-Мансийского автономного округа - Югры &quot;Развитие гражданского общества&quot; (вместе с &quot;Порядком оказания информационной поддержки региональным социально ориентированным некоммерческим организациям, осуществляющим деятельность в Ханты-Мансийском автономном округе - Югре&quot;, &quot;Порядком предоставления субсидии из бюджета Ханты-Мансийского автономного округа - Югры местным бюджетам 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предоставления субсидии из бюджета Ханты-Мансийского автономного округа - Югры местным бюджетам на реализацию инициативных проектов, утвержденным постановлением Правительства Ханты-Мансийского автономного округа - Югры от 27 декабря 2021 года N 598-п "О мерах по реализации государственной программы Ханты-Мансийского автономного округа - Югры "Развитие гражданского общества",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1-нп, </w:t>
      </w:r>
      <w:hyperlink w:history="0" r:id="rId18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конкурсе инициативных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2 - 3. Утратили силу. - </w:t>
      </w:r>
      <w:hyperlink w:history="0" r:id="rId19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общественных, внешних связей и молодежной политики ХМАО - Югры от 31.01.2023 N 1-нп.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приказ вступает в силу по истечении 10 дней с момента его официального опубликования и распространяет свое действие на правоотношения, возникшие с 1 января 2021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Е.В.ШУМАКОВА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общественных и внешних</w:t>
      </w:r>
    </w:p>
    <w:p>
      <w:pPr>
        <w:pStyle w:val="0"/>
        <w:jc w:val="right"/>
      </w:pPr>
      <w:r>
        <w:rPr>
          <w:sz w:val="24"/>
        </w:rPr>
        <w:t xml:space="preserve">связей 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от 11.01.2021 N 1-нп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РЕГИОНАЛЬНОМ КОНКУРСЕ ИНИЦИАТИВНЫХ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общественных и внешних связей ХМАО - Югры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09.04.2021 </w:t>
            </w:r>
            <w:hyperlink w:history="0" r:id="rId20" w:tooltip="Приказ Департамента общественных и внешних связей ХМАО - Югры от 09.04.2021 N 3-нп &quot;О внесении изменения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3-нп</w:t>
              </w:r>
            </w:hyperlink>
            <w:r>
              <w:rPr>
                <w:sz w:val="24"/>
                <w:color w:val="392c69"/>
              </w:rPr>
              <w:t xml:space="preserve">, от 22.02.2022 </w:t>
            </w:r>
            <w:hyperlink w:history="0" r:id="rId21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1-нп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22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Департамента общественных, внешних связей и молодежной политики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ХМАО - Югры от 31.01.2023 N 1-нп,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Департамента молодежной политики, гражданских инициатив и внешних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связей Югры от 21.12.2023 </w:t>
            </w:r>
            <w:hyperlink w:history="0" r:id="rId23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13-нп</w:t>
              </w:r>
            </w:hyperlink>
            <w:r>
              <w:rPr>
                <w:sz w:val="24"/>
                <w:color w:val="392c69"/>
              </w:rPr>
              <w:t xml:space="preserve">, от 20.02.2025 </w:t>
            </w:r>
            <w:hyperlink w:history="0" r:id="rId24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3-нп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12.12.2025 </w:t>
            </w:r>
            <w:hyperlink w:history="0" r:id="rId25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14-нп</w:t>
              </w:r>
            </w:hyperlink>
            <w:r>
              <w:rPr>
                <w:sz w:val="24"/>
                <w:color w:val="392c69"/>
              </w:rPr>
              <w:t xml:space="preserve">, от 19.06.2026 </w:t>
            </w:r>
            <w:hyperlink w:history="0" r:id="rId26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N 4-нп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</w:t>
      </w:r>
      <w:hyperlink w:history="0" r:id="rId27" w:tooltip="Постановление Правительства ХМАО - Югры от 27.12.2021 N 598-п (ред. от 22.06.2026) &quot;О мерах по реализации государственной программы Ханты-Мансийского автономного округа - Югры &quot;Развитие гражданского общества&quot; (вместе с &quot;Порядком оказания информационной поддержки региональным социально ориентированным некоммерческим организациям, осуществляющим деятельность в Ханты-Мансийском автономном округе - Югре&quot;, &quot;Порядком предоставления субсидии из бюджета Ханты-Мансийского автономного округа - Югры местным бюджетам 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предоставления субсидий из бюджета Ханты-Мансийского автономного округа - Югры местным бюджетам на реализацию инициативных проектов, утвержденным постановлением Правительства Ханты-Мансийского автономного округа - Югры от 27 декабря 2021 года N 598-п "О мерах по реализации государственной программы Ханты-Мансийского автономного округа - Югры "Развитие гражданского общества" (далее соответственно - Порядок, субсидия, автономный округ), и определяет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проведения регионального конкурса инициативных проектов (далее - конкурс).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конкурсе принимают участие городские округа и муниципальные районы автономного округа (далее - муниципальное образование) с инициативными проектами жителей, имеющих для них приоритетное значение по решению вопросов местного значения или иных вопросов, право решения, которых представлено органам местного самоуправления в соответствии с Федеральным </w:t>
      </w:r>
      <w:hyperlink w:history="0" r:id="rId2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Конкурс проводится в целях рассмотрения и оценки инициативных проектов, признания инициативных проектов победителями конкурса.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Критериями проведения конкурса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актуальность и обоснованность социальной значимости заявленного вопроса (проблемы), на решение которой направлен инициативный проект (актуальность проблемы определяется необходимостью её решения в современных условиях и отражает значимость для целевой аудитории);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12 декабря 2025 года. - </w:t>
      </w:r>
      <w:hyperlink w:history="0" r:id="rId31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вовлеченность жителей в процесс принятия решений и реализации проекта (активное участие граждан в подготовке, отборе и реализации инициативного проекта);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поддержка инициативного проекта - использование средств массовой информации и других средств информирования граждан об инициативном проекте;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софинансирования инициативного проекта со стороны граждан, индивидуальных предпринимателей и юридических лиц в денежной форме (денежные средства, уплачиваемые на добровольной основе и зачисляемые в местный бюджет в целях реализации инициативного проекта);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нефинансовый вклад (трудовое участие) в реализации инициативного проекта со стороны граждан, добровольцев (волонтеров), индивидуальных предпринимателей и юридических лиц (различные формы добровольного трудового участия, предоставление услуг, материалов и оборудования на безвозмездной основе);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влияние инициативного проекта на достижение национальных целей развития и реализацию национальных проектов;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12 декабря 2025 года. - </w:t>
      </w:r>
      <w:hyperlink w:history="0" r:id="rId36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общественная полезность и значимость реализации инициативного проекта, учитываемая по результатам открытого онлайн-голосования.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7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20.02.2025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Департамент молодежной политики, гражданских инициатив и внешних связей автономного округа (далее - Департамент) является организатором конкурса.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общественных, внешних связей и молодежной политики ХМАО - Югры от 31.01.2023 N 1-нп, </w:t>
      </w:r>
      <w:hyperlink w:history="0" r:id="rId39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Оператором конкурса выступает Фонд "Центр гражданских и социальных инициатив Югры" (далее - оператор конкурса).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Документы для участия в конкурсе формируются и подаются ответственными должностными лицами органов местного самоуправления муниципальных образований (далее - специалисты) в электронной форме на информационном сервисе "Единый личный кабинет активиста" в информационно-телекоммуникационной сети "Интернет" по адресу: www.elkanko.ru (далее - информационный сервис).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1-нп, приказов Департамента молодежной политики, гражданских инициатив и внешних связей Югры от 20.02.2025 </w:t>
      </w:r>
      <w:hyperlink w:history="0" r:id="rId42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3-нп</w:t>
        </w:r>
      </w:hyperlink>
      <w:r>
        <w:rPr>
          <w:sz w:val="24"/>
        </w:rPr>
        <w:t xml:space="preserve">, от 19.06.2026 </w:t>
      </w:r>
      <w:hyperlink w:history="0" r:id="rId43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4-нп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инициативный проект направлен на решение вопросов местного значения городского или сельского поселения автономного округа, формирование и подачу документов для участия в конкурсе осуществляют специалисты соответствующего муниципального района автономного округа.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Срок приема документов для участия в конкурсе утверждается приказом Департамента. В течение 3 рабочих дней со дня его издания Департамент размещает объявление о проведении конкурса на своем официальном сайте в информационно-телекоммуникационной сети "Интернет" по адресу: www.depos.admhmao.ru (далее соответственно - объявление, официальный сайт), а оператор конкурса в информационном сервисе, в котором указывается: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срок, время, место приема заявок для участия в конкурсе;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к составу сведений об инициативном проекте;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подачи и отзыва заявок в информационном сервисе для участия в конкурсе;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проведения открытого онлайн-голосования в информационном сервисе за инициативные проекты, допущенные для участия в конкурсе;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итоговой оценки инициативных проектов, допущенных для участия в конкурсе, с учетом итогов онлайн-голосования;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контактная информация для получения консультаций по вопросам проведения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размер субсидии, предоставляемый в соответствии с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документов, представляемых на конкурс.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Департамент создает комиссию по определению победителей конкурса (далее - Комиссия) и экспертные группы, деятельность которых связана с тематикой представленных инициативных проектов (далее - экспертная группа). Количественный состав Комиссии - не менее 11 человек, экспертной группы - не менее 4 человек.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молодежной политики, гражданских инициатив и внешних связей Югры от 20.02.2025 </w:t>
      </w:r>
      <w:hyperlink w:history="0" r:id="rId47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3-нп</w:t>
        </w:r>
      </w:hyperlink>
      <w:r>
        <w:rPr>
          <w:sz w:val="24"/>
        </w:rPr>
        <w:t xml:space="preserve">, от 19.06.2026 </w:t>
      </w:r>
      <w:hyperlink w:history="0" r:id="rId48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4-нп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Комиссии входят представители органов государственной власти автономного округа, Общественной палаты автономного округа, оператора конкурса. Персональный состав Комиссии, экспертной группы и положение о них Департамент утверждает приказом.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молодежной политики, гражданских инициатив и внешних связей Югры от 12.12.2025 </w:t>
      </w:r>
      <w:hyperlink w:history="0" r:id="rId49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14-нп</w:t>
        </w:r>
      </w:hyperlink>
      <w:r>
        <w:rPr>
          <w:sz w:val="24"/>
        </w:rPr>
        <w:t xml:space="preserve">, от 19.06.2026 </w:t>
      </w:r>
      <w:hyperlink w:history="0" r:id="rId50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4-нп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Экспертная группа формируется в соответствии с заявленной тематикой инициативных проектов и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представителя из числа организатора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представителей исполнительных органов автономного округа, государственных учреждений, некоммерческих организаций, находящихся в ведомственной или отраслевой принадлежности исполнительных органов автономного округа, деятельность которых связана с тематикой представленных инициативных проектов;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представителей Ассоциации "Совет муниципальных образований Ханты-Мансийского автономного округа - Югры";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представителей общественных советов при исполнительных органах автономного округа.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3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54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Оператор конкурса и экспертная группа осуществляют оценку инициативных проектов, допущенных для участия в конкурсе, в соответствии с критериями, установленными </w:t>
      </w:r>
      <w:hyperlink w:history="0" w:anchor="P54" w:tooltip="4. Критериями проведения конкурса явля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Положения, а Комиссия рассматривает итоговый рейтинговый лист, сформированный в соответствии с оценками оператора конкурса и экспертной группы и утверждает его.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молодежной политики, гражданских инициатив и внешних связей Югры от 21.12.2023 </w:t>
      </w:r>
      <w:hyperlink w:history="0" r:id="rId55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13-нп</w:t>
        </w:r>
      </w:hyperlink>
      <w:r>
        <w:rPr>
          <w:sz w:val="24"/>
        </w:rPr>
        <w:t xml:space="preserve">, от 12.12.2025 </w:t>
      </w:r>
      <w:hyperlink w:history="0" r:id="rId56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14-нп</w:t>
        </w:r>
      </w:hyperlink>
      <w:r>
        <w:rPr>
          <w:sz w:val="24"/>
        </w:rPr>
        <w:t xml:space="preserve">)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Для участия в конкурсе специалисты формируют и представляют в информационном сервисе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hyperlink w:history="0" w:anchor="P186" w:tooltip="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для участия в конкурсе (далее - заявка) с указанием сведений об инициативном проекте по форме, согласно приложению 1 к настоящему Положению;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письмо за подписью главы муниципального образования или руководителя исполнительно-распорядительного органа муниципального образования о направлении заявки, включающее подтверждение соответствия инициативного проекта требованиям действующего законодательства Российской Федерации, с указанием перечня вопросов местного значения или иных вопросов, право решения которых предоставлено органам местного самоуправления, на решение которых направлена реализация инициативного проекта, а также подтверждение применения фирменного стиля конкурса;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молодежной политики, гражданских инициатив и внешних связей Югры от 20.02.2025 </w:t>
      </w:r>
      <w:hyperlink w:history="0" r:id="rId58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3-нп</w:t>
        </w:r>
      </w:hyperlink>
      <w:r>
        <w:rPr>
          <w:sz w:val="24"/>
        </w:rPr>
        <w:t xml:space="preserve">, от 12.12.2025 </w:t>
      </w:r>
      <w:hyperlink w:history="0" r:id="rId59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14-нп</w:t>
        </w:r>
      </w:hyperlink>
      <w:r>
        <w:rPr>
          <w:sz w:val="24"/>
        </w:rPr>
        <w:t xml:space="preserve">, от 19.06.2026 </w:t>
      </w:r>
      <w:hyperlink w:history="0" r:id="rId60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4-нп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протокол(ы) схода, или собрания граждан, в том числе собрания граждан по вопросам осуществления территориального общественного самоуправления на части территории муниципального образования, результаты опроса граждан и (или) иных способов выявления мнения населения, подтверждающие поддержку инициативного проекта жителями муниципального образования или его части: о выборе проекта; об определении параметров проекта; о размере и форме вклада жителей, организаций и других внебюджетных источников в реализацию проекта; о формировании инициативной группы путем регистрации жителей на сходе, собрании; лист регистрации участников собрания жителей;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техническую документацию и (или) утвержденную проектно-сметную документацию (в случаях, предусмотренных законодательством), дизайн-проекты и (или) сметную документацию (в случаях, когда законодательством разработка проектно-сметной документации не предусмотрена);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общественных, внешних связей и молодежной политики ХМАО - Югры от 31.01.2023 N 1-нп)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фото/видеоматериалы и (или) презентационные материалы.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Заявка, указанная в </w:t>
      </w:r>
      <w:hyperlink w:history="0" w:anchor="P103" w:tooltip="11. Для участия в конкурсе специалисты формируют и представляют в информационном сервисе следующие документы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Положения, должна содержать следующие сведения об инициативном проекте: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инициативного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описание инициативного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влияние инициативного проекта на достижение национальных целей развития и реализацию национальных проектов;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4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20.02.2025 N 3-нп; в ред. </w:t>
      </w:r>
      <w:hyperlink w:history="0" r:id="rId65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инициативного проекта с приложением подтверждающих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типологию инициативного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отсутствии участия инициативного проекта, поданного на конкурс, в иных федеральных, региональных проектах и (или) государственных, муниципальных программах;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8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20.02.2025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использовании средств массовой информации и других средств информирования населения в процессе определения проблемы, на решение которой направлена реализация инициативного проекта, подтвержденные фото- и (или) видеоматериалами;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девятый - десятый утратили силу с 12 декабря 2025 года. - </w:t>
      </w:r>
      <w:hyperlink w:history="0" r:id="rId70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инициаторе(ах) проекта с приложением подтверждающих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20.02.2025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представителе от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дополнительная информация, комментарии;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презентация и (или) дизайн-макет инициативного проекта.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Участие муниципальных образований в конкурсе, в том числе представление документов, осуществляется на безвозмездной основе. Муниципальные образования имеют право отозвать их до истечения установленного срока приема.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Отозванная заявка не учитывается при подсчете количества заявок, представленных для участия в конкурсе.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Муниципальное образование имеет право представить несколько заявок на реализацию нескольких инициативных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течение срока приема документов оператор конкурса осуществляет консультирование по вопросам участия в конкурсе.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Документы на участие в конкурсе, указанные в </w:t>
      </w:r>
      <w:hyperlink w:history="0" w:anchor="P103" w:tooltip="11. Для участия в конкурсе специалисты формируют и представляют в информационном сервисе следующие документы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Положения, регистрируются по дате и времени их поступления в информационном сервисе, в порядке очередности. Оператор конкурса в течение 5 рабочих дней со дня окончания приема документов проверяет их на соответствие </w:t>
      </w:r>
      <w:hyperlink w:history="0" w:anchor="P103" w:tooltip="11. Для участия в конкурсе специалисты формируют и представляют в информационном сервисе следующие документы:">
        <w:r>
          <w:rPr>
            <w:sz w:val="24"/>
            <w:color w:val="0000ff"/>
          </w:rPr>
          <w:t xml:space="preserve">пункту 11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общественных, внешних связей и молодежной политики ХМАО - Югры от 31.01.2023 N 1-нп, </w:t>
      </w:r>
      <w:hyperlink w:history="0" r:id="rId74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Основаниями для отказа в участии в конкурсе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представленных муниципальным образованием документов требованиям, установленным </w:t>
      </w:r>
      <w:hyperlink w:history="0" w:anchor="P103" w:tooltip="11. Для участия в конкурсе специалисты формируют и представляют в информационном сервисе следующие документы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их непредставление (представление не в полном объеме);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документов с нарушением сроков, установленных </w:t>
      </w:r>
      <w:hyperlink w:history="0" w:anchor="P76" w:tooltip="8. Срок приема документов для участия в конкурсе утверждается приказом Департамента. В течение 3 рабочих дней со дня его издания Департамент размещает объявление о проведении конкурса на своем официальном сайте в информационно-телекоммуникационной сети &quot;Интернет&quot; по адресу: www.depos.admhmao.ru (далее соответственно - объявление, официальный сайт), а оператор конкурса в информационном сервисе, в котором указывается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недостоверных сведений в заявке;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превышение размера субсидии, установленного </w:t>
      </w:r>
      <w:hyperlink w:history="0" r:id="rId75" w:tooltip="Постановление Правительства ХМАО - Югры от 05.10.2018 N 355-п (ред. от 10.12.2021) &quot;О государственной программе Ханты-Мансийского автономного округа - Югры &quot;Развитие гражданского общества&quot; (вместе с &quot;Порядком предоставления субсидии из бюджета Ханты-Мансийского автономного округа - Югры Фонду &quot;Центр гражданских и социальных инициатив Югры&quot;, &quot;Порядком предоставления субсидии из бюджета Ханты-Мансийского автономного округа - Югры Фонду &quot;Югорская региональная микрокредитная компания&quot; в целях обеспечения финанс ------------ Утратил силу или отменен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превышение размера софинансирования расходных обязательств, установленного </w:t>
      </w:r>
      <w:hyperlink w:history="0" r:id="rId76" w:tooltip="Постановление Правительства ХМАО - Югры от 05.10.2018 N 355-п (ред. от 10.12.2021) &quot;О государственной программе Ханты-Мансийского автономного округа - Югры &quot;Развитие гражданского общества&quot; (вместе с &quot;Порядком предоставления субсидии из бюджета Ханты-Мансийского автономного округа - Югры Фонду &quot;Центр гражданских и социальных инициатив Югры&quot;, &quot;Порядком предоставления субсидии из бюджета Ханты-Мансийского автономного округа - Югры Фонду &quot;Югорская региональная микрокредитная компания&quot; в целях обеспечения финанс ------------ Утратил силу или отменен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участие инициативного проекта, поданного на конкурс, в иных федеральных, региональных проектах и (или) государственных, муниципальных программах.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7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20.02.2025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Департамент не позднее 5 рабочих дней с даты окончания оператором конкурса проверки, предусмотренной </w:t>
      </w:r>
      <w:hyperlink w:history="0" w:anchor="P138" w:tooltip="15. Документы на участие в конкурсе, указанные в пункте 11 настоящего Положения, регистрируются по дате и времени их поступления в информационном сервисе, в порядке очередности. Оператор конкурса в течение 5 рабочих дней со дня окончания приема документов проверяет их на соответствие пункту 11 настоящего Положения.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настоящего Положения, направляет муниципальному образованию мотивированное уведомление (посредством электронного документооборота) об отказе в участии в конкурсе, в случае выявления оснований, предусмотренных </w:t>
      </w:r>
      <w:hyperlink w:history="0" w:anchor="P140" w:tooltip="16. Основаниями для отказа в участии в конкурсе являются: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случае если в конкурсе приняло участие только одно муниципальное образование либо если к участию в конкурсе допущено только одно муниципальное образование, такое муниципальное образование признается победителем конкурса при условии соответствия требованиям, установленным настоящим Положением и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Если для участия в конкурсе не подано ни одной заявки либо не допущено ни одно муниципальное образование, Департамент признает конкурс несостоявшимся, о чем в течение 3 рабочих дней с даты окончания проверки, предусмотренной </w:t>
      </w:r>
      <w:hyperlink w:history="0" w:anchor="P138" w:tooltip="15. Документы на участие в конкурсе, указанные в пункте 11 настоящего Положения, регистрируются по дате и времени их поступления в информационном сервисе, в порядке очередности. Оператор конкурса в течение 5 рабочих дней со дня окончания приема документов проверяет их на соответствие пункту 11 настоящего Положения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Положения, издает приказ и размещает его на своем официальном сайте, а оператор конкурса в информационном сервисе.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Инициативные проекты, допущенные к участию в конкурсе, по истечении срока, предусмотренного </w:t>
      </w:r>
      <w:hyperlink w:history="0" w:anchor="P138" w:tooltip="15. Документы на участие в конкурсе, указанные в пункте 11 настоящего Положения, регистрируются по дате и времени их поступления в информационном сервисе, в порядке очередности. Оператор конкурса в течение 5 рабочих дней со дня окончания приема документов проверяет их на соответствие пункту 11 настоящего Положения.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настоящего Положения, переходят на открытое онлайн-голосование в информационном сервисе (далее - онлайн-голосование).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bookmarkStart w:id="154" w:name="P154"/>
    <w:bookmarkEnd w:id="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онлайн-голосовании в течение 15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1-нп, </w:t>
      </w:r>
      <w:hyperlink w:history="0" r:id="rId81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общественных, внешних связей и молодежной политики ХМАО - Югры от 31.01.2023 N 1-нп, </w:t>
      </w:r>
      <w:hyperlink w:history="0" r:id="rId82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течение срока проведения онлайн-голосования, предусмотренного </w:t>
      </w:r>
      <w:hyperlink w:history="0" w:anchor="P154" w:tooltip="21. В онлайн-голосовании в течение 15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Положения оператор конкурса осуществляет оценку инициативных проектов путем заполнения в информационном сервисе </w:t>
      </w:r>
      <w:hyperlink w:history="0" w:anchor="P322" w:tooltip="Оценочная ведомость">
        <w:r>
          <w:rPr>
            <w:sz w:val="24"/>
            <w:color w:val="0000ff"/>
          </w:rPr>
          <w:t xml:space="preserve">раздела 1</w:t>
        </w:r>
      </w:hyperlink>
      <w:r>
        <w:rPr>
          <w:sz w:val="24"/>
        </w:rPr>
        <w:t xml:space="preserve"> оценочной ведомости по форме согласно приложению 2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молодежной политики, гражданских инициатив и внешних связей Югры от 12.12.2025 </w:t>
      </w:r>
      <w:hyperlink w:history="0" r:id="rId83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14-нп</w:t>
        </w:r>
      </w:hyperlink>
      <w:r>
        <w:rPr>
          <w:sz w:val="24"/>
        </w:rPr>
        <w:t xml:space="preserve">, от 19.06.2026 </w:t>
      </w:r>
      <w:hyperlink w:history="0" r:id="rId84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4-нп</w:t>
        </w:r>
      </w:hyperlink>
      <w:r>
        <w:rPr>
          <w:sz w:val="24"/>
        </w:rPr>
        <w:t xml:space="preserve">)</w:t>
      </w:r>
    </w:p>
    <w:bookmarkStart w:id="158" w:name="P158"/>
    <w:bookmarkEnd w:id="1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С даты завершения срока, предусмотренного </w:t>
      </w:r>
      <w:hyperlink w:history="0" w:anchor="P154" w:tooltip="21. В онлайн-голосовании в течение 15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Положения, оператор конкурса в течение 3 рабочих дней в информационном сервисе заполняет по каждой заявке, с учетом результатов онлайн-голосования, </w:t>
      </w:r>
      <w:hyperlink w:history="0" w:anchor="P322" w:tooltip="Оценочная ведомость">
        <w:r>
          <w:rPr>
            <w:sz w:val="24"/>
            <w:color w:val="0000ff"/>
          </w:rPr>
          <w:t xml:space="preserve">раздел 2</w:t>
        </w:r>
      </w:hyperlink>
      <w:r>
        <w:rPr>
          <w:sz w:val="24"/>
        </w:rPr>
        <w:t xml:space="preserve"> оценочной ведомости, по форме согласно приложению 2 к настоящему Положению и направляет ее в адрес каждого участника экспертной группы (далее - эксперт).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bookmarkStart w:id="160" w:name="P160"/>
    <w:bookmarkEnd w:id="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8 дней с даты направления оператором конкурса оценочной ведомости каждый эксперт осуществляет оценку инициативных проектов путем заполнения в информационном сервисе </w:t>
      </w:r>
      <w:hyperlink w:history="0" w:anchor="P322" w:tooltip="Оценочная ведомость">
        <w:r>
          <w:rPr>
            <w:sz w:val="24"/>
            <w:color w:val="0000ff"/>
          </w:rPr>
          <w:t xml:space="preserve">раздела 3</w:t>
        </w:r>
      </w:hyperlink>
      <w:r>
        <w:rPr>
          <w:sz w:val="24"/>
        </w:rPr>
        <w:t xml:space="preserve"> оценочной ведомости по форме, согласно приложению 2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5 рабочих дней с даты завершения срока, предусмотренного </w:t>
      </w:r>
      <w:hyperlink w:history="0" w:anchor="P160" w:tooltip="В течение 8 дней с даты направления оператором конкурса оценочной ведомости каждый эксперт осуществляет оценку инициативных проектов путем заполнения в информационном сервисе раздела 3 оценочной ведомости по форме, согласно приложению 2 настоящего Положения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секретарь Комиссии на основании оценочной ведомости, заполненной экспертами, заполняет итоговый рейтинговый </w:t>
      </w:r>
      <w:hyperlink w:history="0" w:anchor="P475" w:tooltip="Итоговый рейтинговый лист">
        <w:r>
          <w:rPr>
            <w:sz w:val="24"/>
            <w:color w:val="0000ff"/>
          </w:rPr>
          <w:t xml:space="preserve">лист</w:t>
        </w:r>
      </w:hyperlink>
      <w:r>
        <w:rPr>
          <w:sz w:val="24"/>
        </w:rPr>
        <w:t xml:space="preserve"> по форме, согласно приложению 3 к настоящему Положению, где формирует средний арифметический балл по каждому инициативному проекту, выводит итоговые баллы и составляет рейтинг заявок.</w:t>
      </w:r>
    </w:p>
    <w:p>
      <w:pPr>
        <w:pStyle w:val="0"/>
        <w:jc w:val="both"/>
      </w:pPr>
      <w:r>
        <w:rPr>
          <w:sz w:val="24"/>
        </w:rPr>
        <w:t xml:space="preserve">(п. 23 в ред. </w:t>
      </w:r>
      <w:hyperlink w:history="0" r:id="rId87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12.12.2025 N 14-нп)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течение 3 рабочих дней после завершения срока, предусмотренного </w:t>
      </w:r>
      <w:hyperlink w:history="0" w:anchor="P158" w:tooltip="23. С даты завершения срока, предусмотренного пунктом 21 настоящего Положения, оператор конкурса в течение 3 рабочих дней в информационном сервисе заполняет по каждой заявке, с учетом результатов онлайн-голосования, раздел 2 оценочной ведомости, по форме согласно приложению 2 к настоящему Положению и направляет ее в адрес каждого участника экспертной группы (далее - эксперт)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Положения, итоговый рейтинговый лист рассматривается на заседании Комиссии и подписывается председателем Комиссии, избранным на заседании.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21.12.2023 N 13-нп)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Итоговый рейтинговый лист с баллами Департамент размещает на официальном сайте, а оператор конкурса в информационном сервисе, в течение 1 рабочего дня с даты подписания итогового рейтингового листа.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молодежной политики, гражданских инициатив и внешних связей Югры от 12.12.2025 </w:t>
      </w:r>
      <w:hyperlink w:history="0" r:id="rId89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14-нп</w:t>
        </w:r>
      </w:hyperlink>
      <w:r>
        <w:rPr>
          <w:sz w:val="24"/>
        </w:rPr>
        <w:t xml:space="preserve">, от 19.06.2026 </w:t>
      </w:r>
      <w:hyperlink w:history="0" r:id="rId90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4-нп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Победителей конкурса определяет Департамент на основании итогового рейтингового листа, утвержденного Комиссией, с учетом объемов бюджетных ассигнований, предусмотренных для предоставления субсидий в бюджете автономного округа на соответствующий финансовый год, в течение 3 рабочих дней с даты подписания итогового рейтингового листа и издает приказ о предоставлении субсидий, содержащий перечень победителей конкурса, размеры субсидий, размещает его в течение 3 дней со дня утверждения на своем официальном сайте.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общественных и внешних связей ХМАО - Югры от 22.02.2022 N 1-нп, приказов Департамента молодежной политики, гражданских инициатив и внешних связей Югры от 21.12.2023 </w:t>
      </w:r>
      <w:hyperlink w:history="0" r:id="rId92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13-нп</w:t>
        </w:r>
      </w:hyperlink>
      <w:r>
        <w:rPr>
          <w:sz w:val="24"/>
        </w:rPr>
        <w:t xml:space="preserve">, от 12.12.2025 </w:t>
      </w:r>
      <w:hyperlink w:history="0" r:id="rId93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N 14-нп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Победителями конкурса признаются инициативные проекты, не более пяти в каждом муниципальном образовании, набравшие наибольшее количество баллов в соответствии с итоговым рейтинговым листом. При этом в случае равенства баллов у нескольких инициативных проектов муниципальных образований преимущество имеет то муниципальное образование, которое зарегистрировало заявку раньше.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молодежной политики, гражданских инициатив и внешних связей Югры от 19.06.2026 N 4-нп)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26.1. Утратил силу. - </w:t>
      </w:r>
      <w:hyperlink w:history="0" r:id="rId95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общественных и внешних связей ХМАО - Югры от 22.02.2022 N 1-нп.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Муниципальным образованиям, инициативные проекты которых не признаны победителями конкурса, не позднее 5 рабочих дней со дня издания приказа о предоставлении субсидий Департамент направляет соответствующее уведомление посредством системы электронного документооборота или электронной почты.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 о региональном конкурсе</w:t>
      </w:r>
    </w:p>
    <w:p>
      <w:pPr>
        <w:pStyle w:val="0"/>
        <w:jc w:val="right"/>
      </w:pPr>
      <w:r>
        <w:rPr>
          <w:sz w:val="24"/>
        </w:rPr>
        <w:t xml:space="preserve">инициативных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6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Департамента молодежной политики, гражданских инициатив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и внешних связей Югры от 19.06.2026 N 4-нп)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186" w:name="P186"/>
    <w:bookmarkEnd w:id="186"/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для участия в региональном конкурсе инициативных проектов,</w:t>
      </w:r>
    </w:p>
    <w:p>
      <w:pPr>
        <w:pStyle w:val="0"/>
        <w:jc w:val="center"/>
      </w:pPr>
      <w:r>
        <w:rPr>
          <w:sz w:val="24"/>
        </w:rPr>
        <w:t xml:space="preserve">заполняемая в информационном сервисе "Единый личный кабинет</w:t>
      </w:r>
    </w:p>
    <w:p>
      <w:pPr>
        <w:pStyle w:val="0"/>
        <w:jc w:val="center"/>
      </w:pPr>
      <w:r>
        <w:rPr>
          <w:sz w:val="24"/>
        </w:rPr>
        <w:t xml:space="preserve">активиста" в информационно-телекоммуникационной сети</w:t>
      </w:r>
    </w:p>
    <w:p>
      <w:pPr>
        <w:pStyle w:val="0"/>
        <w:jc w:val="center"/>
      </w:pPr>
      <w:r>
        <w:rPr>
          <w:sz w:val="24"/>
        </w:rPr>
        <w:t xml:space="preserve">"Интернет" по адресу: www.elkanko.ru</w:t>
      </w:r>
    </w:p>
    <w:p>
      <w:pPr>
        <w:pStyle w:val="0"/>
        <w:jc w:val="center"/>
      </w:pPr>
      <w:r>
        <w:rPr>
          <w:sz w:val="24"/>
        </w:rPr>
        <w:t xml:space="preserve">(с указанием сведений об инициативном проекте)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муниципального образования</w:t>
      </w:r>
    </w:p>
    <w:p>
      <w:pPr>
        <w:pStyle w:val="0"/>
        <w:jc w:val="center"/>
      </w:pPr>
      <w:r>
        <w:rPr>
          <w:sz w:val="24"/>
        </w:rPr>
        <w:t xml:space="preserve">Ханты-Мансийского автономного округа - Югры)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1"/>
        <w:gridCol w:w="8504"/>
      </w:tblGrid>
      <w:tr>
        <w:tc>
          <w:tcPr>
            <w:tcW w:w="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характеристика проекта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Титульное изображение инициативного проекта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инициативного проекта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Типология инициативного проекта:</w:t>
            </w:r>
          </w:p>
          <w:p>
            <w:pPr>
              <w:pStyle w:val="0"/>
            </w:pPr>
            <w:r>
              <w:rPr>
                <w:sz w:val="24"/>
              </w:rPr>
              <w:t xml:space="preserve">Автомобильные дороги, тротуары, пешеходные переходы, остановки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Водоснабжение, водоотведение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Детские игровые площадки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Комплексное благоустройство дворов, в том числе уличное освещение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Культурное наследие (памятники, музеи)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Места массового отдыха и объекты организации благоустройства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Обустройство мест захоронений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сбора твердых коммунальных отходов и мусора</w:t>
            </w:r>
          </w:p>
          <w:p>
            <w:pPr>
              <w:pStyle w:val="0"/>
            </w:pPr>
            <w:r>
              <w:rPr>
                <w:sz w:val="24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бытового обслуживания населения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информационно-коммуникационных технологий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развития коренных малочисленных народов Севера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культуры, библиотечного дела, ремонт домов культуры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образования (отобранные без прямого участия школьников)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туризма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в сфере экологии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 по здравоохранению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Проекты, направленные на уязвимые социальные группы и граждан с ограниченными возможностями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Событийные проекты (праздники, фестивали)</w:t>
            </w:r>
          </w:p>
          <w:p>
            <w:pPr>
              <w:pStyle w:val="0"/>
            </w:pPr>
            <w:r>
              <w:rPr>
                <w:sz w:val="24"/>
              </w:rPr>
              <w:t xml:space="preserve">Физическая культура и массовый спорт</w:t>
            </w:r>
          </w:p>
          <w:p>
            <w:pPr>
              <w:pStyle w:val="0"/>
            </w:pPr>
            <w:r>
              <w:rPr>
                <w:sz w:val="24"/>
              </w:rPr>
              <w:t xml:space="preserve">Другое (опишите)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инициативного проекта: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место расположения (адрес) планируемого к реализации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цель и задачи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вопроса (проблемы), решение которого имеет приоритетное значение для жителей муниципального образования или его части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мероприятия по реализации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ожидаемого результата реализации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планируемые сроки реализации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благополучателей</w:t>
            </w:r>
            <w:r>
              <w:rPr>
                <w:sz w:val="24"/>
                <w:vertAlign w:val="superscript"/>
              </w:rPr>
              <w:t xml:space="preserve">1</w:t>
            </w:r>
            <w:r>
              <w:rPr>
                <w:sz w:val="24"/>
              </w:rPr>
              <w:t xml:space="preserve"> от реализации инициативного проекта, человек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активно участвующих граждан в подготовке, отборе и реализации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характеристика благополучателей от реализации инициативного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необходимых расходов на реализацию инициативного проекта,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смета затрат (расчет) на реализацию инициативного проекта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Положительное влияние инициативного проекта на достижение национальных целей развития, определенных </w:t>
            </w:r>
            <w:hyperlink w:history="0" r:id="rId9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      <w:r>
                <w:rPr>
                  <w:sz w:val="24"/>
                  <w:color w:val="0000ff"/>
                </w:rPr>
                <w:t xml:space="preserve">Указом</w:t>
              </w:r>
            </w:hyperlink>
            <w:r>
              <w:rPr>
                <w:sz w:val="24"/>
              </w:rPr>
      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а также реализацию национальных проектов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Финансирование инициативного проекта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 бюджет: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средств,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доля объема средств муниципального образования в общем объеме финансовых вложений на реализацию инициативного проекта, %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Инициативные платежи: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 граждан,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 индивидуальных предпринимателей,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 юридических лиц,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доля объема средств инициативных платежей в общем объеме финансовых вложений на реализацию инициативного проекта, %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Ханты-Мансийского автономного округа - Югры: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запрашиваемая сумма субсидии,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доля объема средств из бюджета Ханты-Мансийского автономного округа - Югры в общем объеме финансовых вложений на реализацию инициативного проекта, %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Нефинансовый вклад (трудовое участие) в реализации инициативного проекта: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Трудовое участие граждан: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граждан, готовых оказать содействие, человек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участия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стоимости трудового участия граждан,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письма, расчет стоимости)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Трудовое участие добровольцев (волонтеров):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добровольцев (волонтеров), готовых оказать содействие, человек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участия добровольцев (волонтеров)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оценочная стоимость участия добровольцев (волонтеров),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письма, расчет стоимости)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Участие индивидуальных предпринимателей на безвозмездной основе в поставке товаров, выполнении работ, оказании услуг: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участия индивидуальных предпринимателей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оценочная стоимость участия индивидуальных предпринимателей,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Участие юридических лиц на безвозмездной основе в поставке товаров, выполнении работ, оказании услуг: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участия юридических лиц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оценочная стоимость участия юридических лиц,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отсутствии участия инициативного проекта, поданного на конкурс, в иных федеральных, региональных проектах и (или) государственных, муниципальных программах: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(гарантийные письма)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использовании средств массовой информации и других средств информирования населения об инициативном проекте: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использование информационных стендов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публикаций в газетах, включая электронные версии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сюжетов в телепрограммах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в информационно-телекоммуникационной сети "Интернет", социальных сетях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мер, направленный на обеспечение долгосрочного функционирования и сохранности результата реализации инициативного проекта, предотвращение и профилактику вандализма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подтверждающие документы для инфраструктурных и событийных проектов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инициаторе(ах) инициативного проекта: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контакты (ФИО, тел., адрес электронной почты)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состав, человек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согласие на обработку и распространение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ссылки на посты в социальных сетях (видеовизитка, собрания граждан, опросы и другие форматы)</w:t>
            </w:r>
          </w:p>
        </w:tc>
      </w:tr>
      <w:tr>
        <w:tc>
          <w:tcPr>
            <w:tcW w:w="55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представителе от муниципального образования: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ФИО, должность, телефон, адрес электронной почты</w:t>
            </w:r>
          </w:p>
        </w:tc>
      </w:tr>
      <w:tr>
        <w:tc>
          <w:tcPr>
            <w:vMerge w:val="continue"/>
          </w:tcPr>
          <w:p/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согласие на обработку и распространение персональных данных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Дополнительная информация, комментарии</w:t>
            </w:r>
          </w:p>
        </w:tc>
      </w:tr>
      <w:tr>
        <w:tc>
          <w:tcPr>
            <w:tcW w:w="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Презентация и (или) дизайн-макет инициативного проекта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 Благополучатели - непосредственные потребители конечных результатов реализованного инициативного проекта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 о региональном конкурсе</w:t>
      </w:r>
    </w:p>
    <w:p>
      <w:pPr>
        <w:pStyle w:val="0"/>
        <w:jc w:val="right"/>
      </w:pPr>
      <w:r>
        <w:rPr>
          <w:sz w:val="24"/>
        </w:rPr>
        <w:t xml:space="preserve">инициативных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8" w:tooltip="Приказ Департамента молодежной политики, гражданских инициатив и внешних связей Югры от 19.06.2026 N 4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Департамента молодежной политики, гражданских инициатив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и внешних связей Югры от 19.06.2026 N 4-нп)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322" w:name="P322"/>
    <w:bookmarkEnd w:id="322"/>
    <w:p>
      <w:pPr>
        <w:pStyle w:val="0"/>
        <w:jc w:val="center"/>
      </w:pPr>
      <w:r>
        <w:rPr>
          <w:sz w:val="24"/>
        </w:rPr>
        <w:t xml:space="preserve">Оценочная ведомость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инициативного проекта, муниципального</w:t>
      </w:r>
    </w:p>
    <w:p>
      <w:pPr>
        <w:pStyle w:val="0"/>
        <w:jc w:val="center"/>
      </w:pPr>
      <w:r>
        <w:rPr>
          <w:sz w:val="24"/>
        </w:rPr>
        <w:t xml:space="preserve">образования)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463"/>
        <w:gridCol w:w="1985"/>
      </w:tblGrid>
      <w:tr>
        <w:tc>
          <w:tcPr>
            <w:tcW w:w="62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 оценки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в баллах</w:t>
            </w:r>
          </w:p>
        </w:tc>
      </w:tr>
      <w:tr>
        <w:tc>
          <w:tcPr>
            <w:gridSpan w:val="3"/>
            <w:tcW w:w="907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Раздел 1. Оценка оператора регионального конкурса инициативных проектов на основании представленных документов и материалов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Вовлеченность жителей - отражает активность и заинтересованность жителей в процессе принятия решений и реализации инициативного проекта, их влияние на его успешность. Определяется как доля активно участвующих в обсуждении и определении инициативного проекта, к численности благополучателей от реализации инициативного проекта.</w:t>
            </w:r>
          </w:p>
          <w:p>
            <w:pPr>
              <w:pStyle w:val="0"/>
            </w:pPr>
            <w:r>
              <w:rPr>
                <w:sz w:val="24"/>
              </w:rPr>
              <w:t xml:space="preserve">Очень высокая вовлеченность (более 75% от общего числа благополучателей, принявших участие в обсуждении и определении инициативного проекта)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Высокая вовлеченность (от 50% до 75% (включительно) от общего числа благополучателей, принявших участие в обсуждении и определении инициативного проекта) - 8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средняя вовлеченность (от 30% до 50% (включительно) от общего числа благополучателей, принявших участие в обсуждении и определении инициативного проекта) - 6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низкая вовлеченность (от 15% до 30% (включительно) от общего числа благополучателей, принявших участие в обсуждении, определении инициативного проекта)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очень низкая вовлеченность (менее 15% от общего числа благополучателей, принявших участие в обсуждении и определении инициативного проекта) - 2 балла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2 до 10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поддержка инициативного проекта: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телевидение: от 0 до 4 баллов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выпущен полноценный сюжет, длительностью более 3 минут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выпущен сюжет длительностью от 1 до 3 минут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произведена короткая информационная вставка в телепрограммах, длительностью от 30 секунд до 1 минуты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отсутствует информация об инициативном проекте на телевидении - 0 баллов;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газеты: от 0 до 2 баллов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опубликована отдельная тематическая статья или специальный выпуск, размещенные на 1 или 2 странице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опубликована отдельная тематическая статья или специальный выпуск, размещенные на 3 и последующих страницах - 1 балл;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отсутствуют любые публикации об инициативном проекте - 0 баллов;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интернет и социальные сети: от 0 до 3 баллов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размещено 6 и более уникальных постов и записей об инициативном проекте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размещено от 3 до 5 уникальных постов и записей об инициативном проекте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размещено от 1 до 2 уникальных постов и записей об инициативном проекте - 1 балл;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постов и записей об инициативном проекте - 0 баллов;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информационные стенды (доски): от 0 до 1 балла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стендах, установленных в общественных местах, размещена информация содержащая основные сведения об инициативном проекте, с указанием способа участия граждан в процессе отбора и выдвижения инициативного проекта - 1 балл;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информационных материалов на стендах - 0 баллов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0 до 10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Софинансирование инициативного проекта со стороны граждан, индивидуальных предпринимателей и юридических лиц на добровольной основе в денежной 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от 3% и выше от общей стоимости инициативного проекта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2% до 3% от общей стоимости инициативного проекта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1% до 2% от общей стоимости инициативного проекта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до 1% от общей стоимости инициативного проекта - 1 балл;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 отсутствия софинансирования - 0 баллов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0 до 5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Нефинансовый вклад (трудовое участие) в реализации инициативного проекта со стороны граждан, индивидуальных предпринимателей, юридических лиц и добровольцев (волонтеров), верифицированных на единой информационной системе в сфере развития добровольчества (волонтерства) "Добро.рф", предоставляющих на безвозмездной основе услуги, материалы и оборудование: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участие граждан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участие добровольцев (волонтеров)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участие индивидуальных предпринимателей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участие юридических лиц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нефинансового вклада - 0 баллов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0 до 8 баллов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Раздел 2. Оценка общественной полезности и значимости реализации инициативного проекта по результатам открытого онлайн-голосования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Для населенных пунктов с населением от 100 тыс. человек: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превышает 100% от среднего значения проголосовавших за все инициативные проекты населенных пунктов с населением от 100 тыс. человек, поданные на конкурс,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80% до 100% (включительно) от среднего значения - 8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50% до 80% (включительно) от среднего значения - 6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20% до 50% (включительно) от среднего значения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составляет менее 20% от среднего значения - 2 балла.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Для населенных пунктов с населением от 30 до 100 тыс. человек: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превышает 100% от среднего значения проголосовавших за все инициативные проекты населенных пунктов с населением от 30 до 100 тыс. человек, поданные на конкурс,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80% до 100% (включительно) от указанного среднего значения - 8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50% до 80% (включительно) от среднего значения - 6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20% до 50% (включительно) от среднего значения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составляет менее 20% от среднего значения - 2 балла.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Для населенных пунктов с населением от 10 до 30 тыс. человек: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превышает 100% от среднего значения проголосовавших за все инициативные проекты населенных пунктов с населением от 10 до 30 тыс. человек, поданные на конкурс,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80% до 100% (включительно) от указанного среднего значения - 8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50% до 80% (включительно) от среднего значения - 6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20% до 50% (включительно) от среднего значения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составляет менее 20% от среднего значения - 2 балла.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Для населенных пунктов с населением от 5 до 10 тыс. населения: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превышает 100% от среднего значения проголосовавших за все инициативные проекты населенных пунктов с населением от 5 до 10 тыс. человек, поданные на конкурс,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80% до 100% (включительно) от указанного среднего значения - 8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50% до 80% (включительно) от среднего значения - 6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20% до 50% (включительно) от среднего значения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составляет менее 20% от среднего значения - 2 балла.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Для населенных пунктов с населением до 5 тыс. населения: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превышает 100% от среднего значения проголосовавших за все инициативные проекты населенных пунктов с населением до 5 тыс. человек, поданные на конкурс,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80% до 100% (включительно) от указанного среднего значения - 8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50% до 80% (включительно) от среднего значения - 6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находится в диапазоне от 20% до 50% (включительно) от среднего значения - 4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случае, если количество голосов составляет менее 20% от среднего значения - 2 балла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2 до 10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В случае количества набранных голосов, доля которых составляет от 5% и более от численности жителей городских округов или от городских и сельских поселений, муниципальных районов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 количества набранных голосов, доля которых составляет до 5% от численности жителей городских округов или от городских и сельских поселений, муниципальных районов - 1 балл;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 отсутствия голосов - 0 баллов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0 до 5 баллов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Раздел 3. Оценка участника экспертной группы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 Актуальность и обоснованность социальной значимости заявленного вопроса (проблемы), на решение которой направлен инициативный проект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Подтверждение актуальности проблемы, на решение которой направлен инициативный проект: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представлены документы, подтверждающие наличие проблемы и демонстрирующие ее негативное влияние на общество (официальные справки, публикации в средствах массовой информации, сообщения из социальных сетей и мессенджеров и др.); проблема, на решение которой направлен инициативный проект, детально раскрыта, описание аргументировано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представлены документы, подтверждающие наличие проблемы и демонстрирующие ее негативное влияние на общество, проблема является актуальной, но обоснование описано общими фразами, недостаточно информации для подтверждения актуальности проблемы для благополучателей и (или) территории реализации инициативного проекта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 не представлены, проблема не имеет острой значимости для благополучателей или территории реализации инициативного проекта, описание недостаточно аргументировано - 1 балл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1 до 5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3.1.2.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Публичное обсуждение инициативного проекта: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 публичный сход и собрание граждан, составлен официальный протокол обсуждения, предоставлены фото- и видеоматериалы, наглядно подтверждающие проведенное мероприятие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 публичный сход или собрание граждан, имеется составленный протокол обсуждения, представлен фотоматериал, видеофиксация отсутствует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 публичный сход или собрание граждан, оформлен протокол, но фото- и видеоматериалов нет либо организован только опрос граждан без проведения официального схода или собрания - 1 балл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1 до 5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3.1.3.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Роль инициативной группы граждан: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публикация в социальных сетях и (или) мессенджерах инициативной группы информации о проведении собрания граждан по выдвижению и отбору инициативного проекта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публикация в социальных сетях и (или) мессенджерах инициативной группы информации с прикреплением ссылок о проведении опросов граждан в поддержку инициативного проекта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публикация в социальных сетях и (или) мессенджерах инициативной группы видеовизитки отражающей: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проблематику, ее значение для жителей, предложения по решению обозначаемой проблематики с указанием преимуществ по итогам ее решения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привлечение к участию в создании видеовизитки жителей муниципального образования - 2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(креативный) подход к оформлению видеовизитки - 2 балла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2 до 10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3.1.4.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Презентационные материалы: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разработан дизайн-макет инициативного проекта, наглядно иллюстрирующий содержание проекта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дизайн-макет инициативного проекта отсутствует, к заявке приложена презентация проекта, содержащая полное описание проекта, актуальные фотографии до начала реализации и отображающая актуальную ситуацию,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презентация или дизайн-макет инициативного проекта отсутствуют, к заявке приложены только фотографии о наличии проблемы или макет, наглядно иллюстрирующий вид реализованного проекта, - 1 балл;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отсутствует наглядные материалы - 0 баллов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0 до 5 баллов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Положительное влияние инициативного проекта на достижение национальных целей развития, определенных </w:t>
            </w:r>
            <w:hyperlink w:history="0" r:id="rId99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      <w:r>
                <w:rPr>
                  <w:sz w:val="24"/>
                  <w:color w:val="0000ff"/>
                </w:rPr>
                <w:t xml:space="preserve">Указом</w:t>
              </w:r>
            </w:hyperlink>
            <w:r>
              <w:rPr>
                <w:sz w:val="24"/>
              </w:rPr>
      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а также реализацию национальных проектов: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максимальное влияние (инициативный проект оказывает положительное влияние на три целевых показателя, выполнение которых способствует достижению национальных целей и национальных проектов)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значительное влияние (инициативный проект способствует достижению двух целевых показателей и национальных проектов, что отражает его значительный вклад в реализацию национальных целей развития) - 7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умеренное влияние (инициативный проект оказывает положительное влияние на один целевой показатель и национальный проект, что свидетельствует о его частичном вкладе в достижение национальных целей) - 3 балла;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влияния (инициативный проект не оказывает влияния на достижение ни одного из целевых показателей и национальных проектов, связанных с национальными целями развития) - 0 баллов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0 до 10 баллов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региональном конкурсе</w:t>
      </w:r>
    </w:p>
    <w:p>
      <w:pPr>
        <w:pStyle w:val="0"/>
        <w:jc w:val="right"/>
      </w:pPr>
      <w:r>
        <w:rPr>
          <w:sz w:val="24"/>
        </w:rPr>
        <w:t xml:space="preserve">инициативных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0" w:tooltip="Приказ Департамента молодежной политики, гражданских инициатив и внешних связей Югры от 12.12.2025 N 14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егиональном конкурсе инициативных проектов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Департамента молодежной политики, гражданских инициатив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и внешних связей Югры от 12.12.2025 N 14-нп)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475" w:name="P475"/>
    <w:bookmarkEnd w:id="475"/>
    <w:p>
      <w:pPr>
        <w:pStyle w:val="0"/>
        <w:jc w:val="center"/>
      </w:pPr>
      <w:r>
        <w:rPr>
          <w:sz w:val="24"/>
        </w:rPr>
        <w:t xml:space="preserve">Итоговый рейтинговый лист</w:t>
      </w:r>
    </w:p>
    <w:p>
      <w:pPr>
        <w:pStyle w:val="0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29"/>
        <w:gridCol w:w="1804"/>
        <w:gridCol w:w="1159"/>
        <w:gridCol w:w="2239"/>
        <w:gridCol w:w="1294"/>
        <w:gridCol w:w="172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инициативного проекта</w:t>
            </w:r>
          </w:p>
        </w:tc>
        <w:tc>
          <w:tcPr>
            <w:tcW w:w="18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Муниципальное образование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оператора конкурса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по результатам открытого онлайн-голосования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оценка экспертной группы &lt;*&gt;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Рейтинг инициативного проекта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2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0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5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3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9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2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2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804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15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223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294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2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2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804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15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223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294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1729" w:type="dxa"/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1"/>
          <w:headerReference w:type="first" r:id="rId101"/>
          <w:footerReference w:type="default" r:id="rId102"/>
          <w:footerReference w:type="first" r:id="rId10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Показатель "общая оценка экспертной группы" - это среднеарифметическая оценка, поставленная участниками экспертных групп по проведению оценки инициативных проектов, допущенных для участия в конкурсе.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 показателя "общая оценка экспертной группы":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32"/>
        </w:rPr>
        <w:drawing>
          <wp:inline distT="0" distB="0" distL="0" distR="0">
            <wp:extent cx="94869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position w:val="-12"/>
        </w:rPr>
        <w:drawing>
          <wp:inline distT="0" distB="0" distL="0" distR="0">
            <wp:extent cx="445770" cy="308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баллов, выставленных каждым экспертом в оценочной ведомости инициативного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Э</w:t>
      </w:r>
      <w:r>
        <w:rPr>
          <w:sz w:val="24"/>
        </w:rPr>
        <w:t xml:space="preserve"> - количество экспертов, предоставивших оценочные ведомости по каждой заявке;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</w:t>
      </w:r>
      <w:r>
        <w:rPr>
          <w:sz w:val="24"/>
          <w:vertAlign w:val="subscript"/>
        </w:rPr>
        <w:t xml:space="preserve">ЭГ</w:t>
      </w:r>
      <w:r>
        <w:rPr>
          <w:sz w:val="24"/>
        </w:rPr>
        <w:t xml:space="preserve"> - общая оценка в баллах за инициативный проект.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3634"/>
      </w:tblGrid>
      <w:t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комиссии по определению победителей регионального конкурса инициативных проектов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(ФИО, должность)</w:t>
            </w:r>
          </w:p>
        </w:tc>
        <w:tc>
          <w:tcPr>
            <w:tcW w:w="363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Подпись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общественных и внешних связей ХМАО - Югры от 11.01.2021 N 1-нп</w:t>
            <w:br/>
            <w:t>(ред. от 19.06.2026)</w:t>
            <w:br/>
            <w:t>"Об утверждении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общественных и внешних связей ХМАО - Югры от 11.01.2021 N 1-нп</w:t>
            <w:br/>
            <w:t>(ред. от 19.06.2026)</w:t>
            <w:br/>
            <w:t>"Об утверждении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230199&amp;date=07.07.2026&amp;dst=100005&amp;field=134" TargetMode = "External"/><Relationship Id="rId9" Type="http://schemas.openxmlformats.org/officeDocument/2006/relationships/hyperlink" Target="https://login.consultant.ru/link/?req=doc&amp;base=RLAW926&amp;n=250452&amp;date=07.07.2026&amp;dst=100005&amp;field=134" TargetMode = "External"/><Relationship Id="rId10" Type="http://schemas.openxmlformats.org/officeDocument/2006/relationships/hyperlink" Target="https://login.consultant.ru/link/?req=doc&amp;base=RLAW926&amp;n=272461&amp;date=07.07.2026&amp;dst=100005&amp;field=134" TargetMode = "External"/><Relationship Id="rId11" Type="http://schemas.openxmlformats.org/officeDocument/2006/relationships/hyperlink" Target="https://login.consultant.ru/link/?req=doc&amp;base=RLAW926&amp;n=294107&amp;date=07.07.2026&amp;dst=100005&amp;field=134" TargetMode = "External"/><Relationship Id="rId12" Type="http://schemas.openxmlformats.org/officeDocument/2006/relationships/hyperlink" Target="https://login.consultant.ru/link/?req=doc&amp;base=RLAW926&amp;n=319295&amp;date=07.07.2026&amp;dst=100005&amp;field=134" TargetMode = "External"/><Relationship Id="rId13" Type="http://schemas.openxmlformats.org/officeDocument/2006/relationships/hyperlink" Target="https://login.consultant.ru/link/?req=doc&amp;base=RLAW926&amp;n=339097&amp;date=07.07.2026&amp;dst=100005&amp;field=134" TargetMode = "External"/><Relationship Id="rId14" Type="http://schemas.openxmlformats.org/officeDocument/2006/relationships/hyperlink" Target="https://login.consultant.ru/link/?req=doc&amp;base=RLAW926&amp;n=354780&amp;date=07.07.2026&amp;dst=100005&amp;field=134" TargetMode = "External"/><Relationship Id="rId15" Type="http://schemas.openxmlformats.org/officeDocument/2006/relationships/hyperlink" Target="https://login.consultant.ru/link/?req=doc&amp;base=LAW&amp;n=531468&amp;date=07.07.2026&amp;dst=100773&amp;field=134" TargetMode = "External"/><Relationship Id="rId16" Type="http://schemas.openxmlformats.org/officeDocument/2006/relationships/hyperlink" Target="https://login.consultant.ru/link/?req=doc&amp;base=RLAW926&amp;n=354824&amp;date=07.07.2026&amp;dst=100707&amp;field=134" TargetMode = "External"/><Relationship Id="rId17" Type="http://schemas.openxmlformats.org/officeDocument/2006/relationships/hyperlink" Target="https://login.consultant.ru/link/?req=doc&amp;base=RLAW926&amp;n=250452&amp;date=07.07.2026&amp;dst=100006&amp;field=134" TargetMode = "External"/><Relationship Id="rId18" Type="http://schemas.openxmlformats.org/officeDocument/2006/relationships/hyperlink" Target="https://login.consultant.ru/link/?req=doc&amp;base=RLAW926&amp;n=339097&amp;date=07.07.2026&amp;dst=100006&amp;field=134" TargetMode = "External"/><Relationship Id="rId19" Type="http://schemas.openxmlformats.org/officeDocument/2006/relationships/hyperlink" Target="https://login.consultant.ru/link/?req=doc&amp;base=RLAW926&amp;n=272461&amp;date=07.07.2026&amp;dst=100006&amp;field=134" TargetMode = "External"/><Relationship Id="rId20" Type="http://schemas.openxmlformats.org/officeDocument/2006/relationships/hyperlink" Target="https://login.consultant.ru/link/?req=doc&amp;base=RLAW926&amp;n=230199&amp;date=07.07.2026&amp;dst=100005&amp;field=134" TargetMode = "External"/><Relationship Id="rId21" Type="http://schemas.openxmlformats.org/officeDocument/2006/relationships/hyperlink" Target="https://login.consultant.ru/link/?req=doc&amp;base=RLAW926&amp;n=250452&amp;date=07.07.2026&amp;dst=100007&amp;field=134" TargetMode = "External"/><Relationship Id="rId22" Type="http://schemas.openxmlformats.org/officeDocument/2006/relationships/hyperlink" Target="https://login.consultant.ru/link/?req=doc&amp;base=RLAW926&amp;n=272461&amp;date=07.07.2026&amp;dst=100007&amp;field=134" TargetMode = "External"/><Relationship Id="rId23" Type="http://schemas.openxmlformats.org/officeDocument/2006/relationships/hyperlink" Target="https://login.consultant.ru/link/?req=doc&amp;base=RLAW926&amp;n=294107&amp;date=07.07.2026&amp;dst=100005&amp;field=134" TargetMode = "External"/><Relationship Id="rId24" Type="http://schemas.openxmlformats.org/officeDocument/2006/relationships/hyperlink" Target="https://login.consultant.ru/link/?req=doc&amp;base=RLAW926&amp;n=319295&amp;date=07.07.2026&amp;dst=100005&amp;field=134" TargetMode = "External"/><Relationship Id="rId25" Type="http://schemas.openxmlformats.org/officeDocument/2006/relationships/hyperlink" Target="https://login.consultant.ru/link/?req=doc&amp;base=RLAW926&amp;n=339097&amp;date=07.07.2026&amp;dst=100007&amp;field=134" TargetMode = "External"/><Relationship Id="rId26" Type="http://schemas.openxmlformats.org/officeDocument/2006/relationships/hyperlink" Target="https://login.consultant.ru/link/?req=doc&amp;base=RLAW926&amp;n=354780&amp;date=07.07.2026&amp;dst=100005&amp;field=134" TargetMode = "External"/><Relationship Id="rId27" Type="http://schemas.openxmlformats.org/officeDocument/2006/relationships/hyperlink" Target="https://login.consultant.ru/link/?req=doc&amp;base=RLAW926&amp;n=354824&amp;date=07.07.2026&amp;dst=100705&amp;field=134" TargetMode = "External"/><Relationship Id="rId28" Type="http://schemas.openxmlformats.org/officeDocument/2006/relationships/hyperlink" Target="https://login.consultant.ru/link/?req=doc&amp;base=RLAW926&amp;n=250452&amp;date=07.07.2026&amp;dst=100008&amp;field=134" TargetMode = "External"/><Relationship Id="rId29" Type="http://schemas.openxmlformats.org/officeDocument/2006/relationships/hyperlink" Target="https://login.consultant.ru/link/?req=doc&amp;base=LAW&amp;n=531468&amp;date=07.07.2026" TargetMode = "External"/><Relationship Id="rId30" Type="http://schemas.openxmlformats.org/officeDocument/2006/relationships/hyperlink" Target="https://login.consultant.ru/link/?req=doc&amp;base=RLAW926&amp;n=339097&amp;date=07.07.2026&amp;dst=100008&amp;field=134" TargetMode = "External"/><Relationship Id="rId31" Type="http://schemas.openxmlformats.org/officeDocument/2006/relationships/hyperlink" Target="https://login.consultant.ru/link/?req=doc&amp;base=RLAW926&amp;n=339097&amp;date=07.07.2026&amp;dst=100010&amp;field=134" TargetMode = "External"/><Relationship Id="rId32" Type="http://schemas.openxmlformats.org/officeDocument/2006/relationships/hyperlink" Target="https://login.consultant.ru/link/?req=doc&amp;base=RLAW926&amp;n=339097&amp;date=07.07.2026&amp;dst=100011&amp;field=134" TargetMode = "External"/><Relationship Id="rId33" Type="http://schemas.openxmlformats.org/officeDocument/2006/relationships/hyperlink" Target="https://login.consultant.ru/link/?req=doc&amp;base=RLAW926&amp;n=339097&amp;date=07.07.2026&amp;dst=100012&amp;field=134" TargetMode = "External"/><Relationship Id="rId34" Type="http://schemas.openxmlformats.org/officeDocument/2006/relationships/hyperlink" Target="https://login.consultant.ru/link/?req=doc&amp;base=RLAW926&amp;n=339097&amp;date=07.07.2026&amp;dst=100015&amp;field=134" TargetMode = "External"/><Relationship Id="rId35" Type="http://schemas.openxmlformats.org/officeDocument/2006/relationships/hyperlink" Target="https://login.consultant.ru/link/?req=doc&amp;base=RLAW926&amp;n=339097&amp;date=07.07.2026&amp;dst=100018&amp;field=134" TargetMode = "External"/><Relationship Id="rId36" Type="http://schemas.openxmlformats.org/officeDocument/2006/relationships/hyperlink" Target="https://login.consultant.ru/link/?req=doc&amp;base=RLAW926&amp;n=339097&amp;date=07.07.2026&amp;dst=100019&amp;field=134" TargetMode = "External"/><Relationship Id="rId37" Type="http://schemas.openxmlformats.org/officeDocument/2006/relationships/hyperlink" Target="https://login.consultant.ru/link/?req=doc&amp;base=RLAW926&amp;n=319295&amp;date=07.07.2026&amp;dst=100006&amp;field=134" TargetMode = "External"/><Relationship Id="rId38" Type="http://schemas.openxmlformats.org/officeDocument/2006/relationships/hyperlink" Target="https://login.consultant.ru/link/?req=doc&amp;base=RLAW926&amp;n=272461&amp;date=07.07.2026&amp;dst=100008&amp;field=134" TargetMode = "External"/><Relationship Id="rId39" Type="http://schemas.openxmlformats.org/officeDocument/2006/relationships/hyperlink" Target="https://login.consultant.ru/link/?req=doc&amp;base=RLAW926&amp;n=294107&amp;date=07.07.2026&amp;dst=100011&amp;field=134" TargetMode = "External"/><Relationship Id="rId40" Type="http://schemas.openxmlformats.org/officeDocument/2006/relationships/hyperlink" Target="https://login.consultant.ru/link/?req=doc&amp;base=RLAW926&amp;n=294107&amp;date=07.07.2026&amp;dst=100012&amp;field=134" TargetMode = "External"/><Relationship Id="rId41" Type="http://schemas.openxmlformats.org/officeDocument/2006/relationships/hyperlink" Target="https://login.consultant.ru/link/?req=doc&amp;base=RLAW926&amp;n=250452&amp;date=07.07.2026&amp;dst=100013&amp;field=134" TargetMode = "External"/><Relationship Id="rId42" Type="http://schemas.openxmlformats.org/officeDocument/2006/relationships/hyperlink" Target="https://login.consultant.ru/link/?req=doc&amp;base=RLAW926&amp;n=319295&amp;date=07.07.2026&amp;dst=100017&amp;field=134" TargetMode = "External"/><Relationship Id="rId43" Type="http://schemas.openxmlformats.org/officeDocument/2006/relationships/hyperlink" Target="https://login.consultant.ru/link/?req=doc&amp;base=RLAW926&amp;n=354780&amp;date=07.07.2026&amp;dst=100006&amp;field=134" TargetMode = "External"/><Relationship Id="rId44" Type="http://schemas.openxmlformats.org/officeDocument/2006/relationships/hyperlink" Target="https://login.consultant.ru/link/?req=doc&amp;base=RLAW926&amp;n=354780&amp;date=07.07.2026&amp;dst=100007&amp;field=134" TargetMode = "External"/><Relationship Id="rId45" Type="http://schemas.openxmlformats.org/officeDocument/2006/relationships/hyperlink" Target="https://login.consultant.ru/link/?req=doc&amp;base=RLAW926&amp;n=354780&amp;date=07.07.2026&amp;dst=100007&amp;field=134" TargetMode = "External"/><Relationship Id="rId46" Type="http://schemas.openxmlformats.org/officeDocument/2006/relationships/hyperlink" Target="https://login.consultant.ru/link/?req=doc&amp;base=RLAW926&amp;n=354780&amp;date=07.07.2026&amp;dst=100007&amp;field=134" TargetMode = "External"/><Relationship Id="rId47" Type="http://schemas.openxmlformats.org/officeDocument/2006/relationships/hyperlink" Target="https://login.consultant.ru/link/?req=doc&amp;base=RLAW926&amp;n=319295&amp;date=07.07.2026&amp;dst=100019&amp;field=134" TargetMode = "External"/><Relationship Id="rId48" Type="http://schemas.openxmlformats.org/officeDocument/2006/relationships/hyperlink" Target="https://login.consultant.ru/link/?req=doc&amp;base=RLAW926&amp;n=354780&amp;date=07.07.2026&amp;dst=100009&amp;field=134" TargetMode = "External"/><Relationship Id="rId49" Type="http://schemas.openxmlformats.org/officeDocument/2006/relationships/hyperlink" Target="https://login.consultant.ru/link/?req=doc&amp;base=RLAW926&amp;n=339097&amp;date=07.07.2026&amp;dst=100021&amp;field=134" TargetMode = "External"/><Relationship Id="rId50" Type="http://schemas.openxmlformats.org/officeDocument/2006/relationships/hyperlink" Target="https://login.consultant.ru/link/?req=doc&amp;base=RLAW926&amp;n=354780&amp;date=07.07.2026&amp;dst=100010&amp;field=134" TargetMode = "External"/><Relationship Id="rId51" Type="http://schemas.openxmlformats.org/officeDocument/2006/relationships/hyperlink" Target="https://login.consultant.ru/link/?req=doc&amp;base=RLAW926&amp;n=354780&amp;date=07.07.2026&amp;dst=100011&amp;field=134" TargetMode = "External"/><Relationship Id="rId52" Type="http://schemas.openxmlformats.org/officeDocument/2006/relationships/hyperlink" Target="https://login.consultant.ru/link/?req=doc&amp;base=RLAW926&amp;n=339097&amp;date=07.07.2026&amp;dst=100022&amp;field=134" TargetMode = "External"/><Relationship Id="rId53" Type="http://schemas.openxmlformats.org/officeDocument/2006/relationships/hyperlink" Target="https://login.consultant.ru/link/?req=doc&amp;base=RLAW926&amp;n=339097&amp;date=07.07.2026&amp;dst=100024&amp;field=134" TargetMode = "External"/><Relationship Id="rId54" Type="http://schemas.openxmlformats.org/officeDocument/2006/relationships/hyperlink" Target="https://login.consultant.ru/link/?req=doc&amp;base=RLAW926&amp;n=294107&amp;date=07.07.2026&amp;dst=100013&amp;field=134" TargetMode = "External"/><Relationship Id="rId55" Type="http://schemas.openxmlformats.org/officeDocument/2006/relationships/hyperlink" Target="https://login.consultant.ru/link/?req=doc&amp;base=RLAW926&amp;n=294107&amp;date=07.07.2026&amp;dst=100020&amp;field=134" TargetMode = "External"/><Relationship Id="rId56" Type="http://schemas.openxmlformats.org/officeDocument/2006/relationships/hyperlink" Target="https://login.consultant.ru/link/?req=doc&amp;base=RLAW926&amp;n=339097&amp;date=07.07.2026&amp;dst=100026&amp;field=134" TargetMode = "External"/><Relationship Id="rId57" Type="http://schemas.openxmlformats.org/officeDocument/2006/relationships/hyperlink" Target="https://login.consultant.ru/link/?req=doc&amp;base=RLAW926&amp;n=354780&amp;date=07.07.2026&amp;dst=100007&amp;field=134" TargetMode = "External"/><Relationship Id="rId58" Type="http://schemas.openxmlformats.org/officeDocument/2006/relationships/hyperlink" Target="https://login.consultant.ru/link/?req=doc&amp;base=RLAW926&amp;n=319295&amp;date=07.07.2026&amp;dst=100022&amp;field=134" TargetMode = "External"/><Relationship Id="rId59" Type="http://schemas.openxmlformats.org/officeDocument/2006/relationships/hyperlink" Target="https://login.consultant.ru/link/?req=doc&amp;base=RLAW926&amp;n=339097&amp;date=07.07.2026&amp;dst=100030&amp;field=134" TargetMode = "External"/><Relationship Id="rId60" Type="http://schemas.openxmlformats.org/officeDocument/2006/relationships/hyperlink" Target="https://login.consultant.ru/link/?req=doc&amp;base=RLAW926&amp;n=354780&amp;date=07.07.2026&amp;dst=100013&amp;field=134" TargetMode = "External"/><Relationship Id="rId61" Type="http://schemas.openxmlformats.org/officeDocument/2006/relationships/hyperlink" Target="https://login.consultant.ru/link/?req=doc&amp;base=RLAW926&amp;n=339097&amp;date=07.07.2026&amp;dst=100031&amp;field=134" TargetMode = "External"/><Relationship Id="rId62" Type="http://schemas.openxmlformats.org/officeDocument/2006/relationships/hyperlink" Target="https://login.consultant.ru/link/?req=doc&amp;base=RLAW926&amp;n=272461&amp;date=07.07.2026&amp;dst=100013&amp;field=134" TargetMode = "External"/><Relationship Id="rId63" Type="http://schemas.openxmlformats.org/officeDocument/2006/relationships/hyperlink" Target="https://login.consultant.ru/link/?req=doc&amp;base=RLAW926&amp;n=294107&amp;date=07.07.2026&amp;dst=100022&amp;field=134" TargetMode = "External"/><Relationship Id="rId64" Type="http://schemas.openxmlformats.org/officeDocument/2006/relationships/hyperlink" Target="https://login.consultant.ru/link/?req=doc&amp;base=RLAW926&amp;n=319295&amp;date=07.07.2026&amp;dst=100025&amp;field=134" TargetMode = "External"/><Relationship Id="rId65" Type="http://schemas.openxmlformats.org/officeDocument/2006/relationships/hyperlink" Target="https://login.consultant.ru/link/?req=doc&amp;base=RLAW926&amp;n=339097&amp;date=07.07.2026&amp;dst=100035&amp;field=134" TargetMode = "External"/><Relationship Id="rId66" Type="http://schemas.openxmlformats.org/officeDocument/2006/relationships/hyperlink" Target="https://login.consultant.ru/link/?req=doc&amp;base=RLAW926&amp;n=250452&amp;date=07.07.2026&amp;dst=100015&amp;field=134" TargetMode = "External"/><Relationship Id="rId67" Type="http://schemas.openxmlformats.org/officeDocument/2006/relationships/hyperlink" Target="https://login.consultant.ru/link/?req=doc&amp;base=RLAW926&amp;n=294107&amp;date=07.07.2026&amp;dst=100024&amp;field=134" TargetMode = "External"/><Relationship Id="rId68" Type="http://schemas.openxmlformats.org/officeDocument/2006/relationships/hyperlink" Target="https://login.consultant.ru/link/?req=doc&amp;base=RLAW926&amp;n=319295&amp;date=07.07.2026&amp;dst=100027&amp;field=134" TargetMode = "External"/><Relationship Id="rId69" Type="http://schemas.openxmlformats.org/officeDocument/2006/relationships/hyperlink" Target="https://login.consultant.ru/link/?req=doc&amp;base=RLAW926&amp;n=250452&amp;date=07.07.2026&amp;dst=100016&amp;field=134" TargetMode = "External"/><Relationship Id="rId70" Type="http://schemas.openxmlformats.org/officeDocument/2006/relationships/hyperlink" Target="https://login.consultant.ru/link/?req=doc&amp;base=RLAW926&amp;n=339097&amp;date=07.07.2026&amp;dst=100036&amp;field=134" TargetMode = "External"/><Relationship Id="rId71" Type="http://schemas.openxmlformats.org/officeDocument/2006/relationships/hyperlink" Target="https://login.consultant.ru/link/?req=doc&amp;base=RLAW926&amp;n=319295&amp;date=07.07.2026&amp;dst=100029&amp;field=134" TargetMode = "External"/><Relationship Id="rId72" Type="http://schemas.openxmlformats.org/officeDocument/2006/relationships/hyperlink" Target="https://login.consultant.ru/link/?req=doc&amp;base=RLAW926&amp;n=294107&amp;date=07.07.2026&amp;dst=100026&amp;field=134" TargetMode = "External"/><Relationship Id="rId73" Type="http://schemas.openxmlformats.org/officeDocument/2006/relationships/hyperlink" Target="https://login.consultant.ru/link/?req=doc&amp;base=RLAW926&amp;n=272461&amp;date=07.07.2026&amp;dst=100015&amp;field=134" TargetMode = "External"/><Relationship Id="rId74" Type="http://schemas.openxmlformats.org/officeDocument/2006/relationships/hyperlink" Target="https://login.consultant.ru/link/?req=doc&amp;base=RLAW926&amp;n=354780&amp;date=07.07.2026&amp;dst=100007&amp;field=134" TargetMode = "External"/><Relationship Id="rId75" Type="http://schemas.openxmlformats.org/officeDocument/2006/relationships/hyperlink" Target="https://login.consultant.ru/link/?req=doc&amp;base=RLAW926&amp;n=245685&amp;date=07.07.2026&amp;dst=5510&amp;field=134" TargetMode = "External"/><Relationship Id="rId76" Type="http://schemas.openxmlformats.org/officeDocument/2006/relationships/hyperlink" Target="https://login.consultant.ru/link/?req=doc&amp;base=RLAW926&amp;n=245685&amp;date=07.07.2026&amp;dst=5511&amp;field=134" TargetMode = "External"/><Relationship Id="rId77" Type="http://schemas.openxmlformats.org/officeDocument/2006/relationships/hyperlink" Target="https://login.consultant.ru/link/?req=doc&amp;base=RLAW926&amp;n=319295&amp;date=07.07.2026&amp;dst=100030&amp;field=134" TargetMode = "External"/><Relationship Id="rId78" Type="http://schemas.openxmlformats.org/officeDocument/2006/relationships/hyperlink" Target="https://login.consultant.ru/link/?req=doc&amp;base=RLAW926&amp;n=354780&amp;date=07.07.2026&amp;dst=100007&amp;field=134" TargetMode = "External"/><Relationship Id="rId79" Type="http://schemas.openxmlformats.org/officeDocument/2006/relationships/hyperlink" Target="https://login.consultant.ru/link/?req=doc&amp;base=RLAW926&amp;n=354780&amp;date=07.07.2026&amp;dst=100007&amp;field=134" TargetMode = "External"/><Relationship Id="rId80" Type="http://schemas.openxmlformats.org/officeDocument/2006/relationships/hyperlink" Target="https://login.consultant.ru/link/?req=doc&amp;base=RLAW926&amp;n=250452&amp;date=07.07.2026&amp;dst=100017&amp;field=134" TargetMode = "External"/><Relationship Id="rId81" Type="http://schemas.openxmlformats.org/officeDocument/2006/relationships/hyperlink" Target="https://login.consultant.ru/link/?req=doc&amp;base=RLAW926&amp;n=272461&amp;date=07.07.2026&amp;dst=100016&amp;field=134" TargetMode = "External"/><Relationship Id="rId82" Type="http://schemas.openxmlformats.org/officeDocument/2006/relationships/hyperlink" Target="https://login.consultant.ru/link/?req=doc&amp;base=RLAW926&amp;n=339097&amp;date=07.07.2026&amp;dst=100037&amp;field=134" TargetMode = "External"/><Relationship Id="rId83" Type="http://schemas.openxmlformats.org/officeDocument/2006/relationships/hyperlink" Target="https://login.consultant.ru/link/?req=doc&amp;base=RLAW926&amp;n=339097&amp;date=07.07.2026&amp;dst=100038&amp;field=134" TargetMode = "External"/><Relationship Id="rId84" Type="http://schemas.openxmlformats.org/officeDocument/2006/relationships/hyperlink" Target="https://login.consultant.ru/link/?req=doc&amp;base=RLAW926&amp;n=354780&amp;date=07.07.2026&amp;dst=100007&amp;field=134" TargetMode = "External"/><Relationship Id="rId85" Type="http://schemas.openxmlformats.org/officeDocument/2006/relationships/hyperlink" Target="https://login.consultant.ru/link/?req=doc&amp;base=RLAW926&amp;n=354780&amp;date=07.07.2026&amp;dst=100007&amp;field=134" TargetMode = "External"/><Relationship Id="rId86" Type="http://schemas.openxmlformats.org/officeDocument/2006/relationships/hyperlink" Target="https://login.consultant.ru/link/?req=doc&amp;base=RLAW926&amp;n=354780&amp;date=07.07.2026&amp;dst=100007&amp;field=134" TargetMode = "External"/><Relationship Id="rId87" Type="http://schemas.openxmlformats.org/officeDocument/2006/relationships/hyperlink" Target="https://login.consultant.ru/link/?req=doc&amp;base=RLAW926&amp;n=339097&amp;date=07.07.2026&amp;dst=100040&amp;field=134" TargetMode = "External"/><Relationship Id="rId88" Type="http://schemas.openxmlformats.org/officeDocument/2006/relationships/hyperlink" Target="https://login.consultant.ru/link/?req=doc&amp;base=RLAW926&amp;n=294107&amp;date=07.07.2026&amp;dst=100033&amp;field=134" TargetMode = "External"/><Relationship Id="rId89" Type="http://schemas.openxmlformats.org/officeDocument/2006/relationships/hyperlink" Target="https://login.consultant.ru/link/?req=doc&amp;base=RLAW926&amp;n=339097&amp;date=07.07.2026&amp;dst=100044&amp;field=134" TargetMode = "External"/><Relationship Id="rId90" Type="http://schemas.openxmlformats.org/officeDocument/2006/relationships/hyperlink" Target="https://login.consultant.ru/link/?req=doc&amp;base=RLAW926&amp;n=354780&amp;date=07.07.2026&amp;dst=100007&amp;field=134" TargetMode = "External"/><Relationship Id="rId91" Type="http://schemas.openxmlformats.org/officeDocument/2006/relationships/hyperlink" Target="https://login.consultant.ru/link/?req=doc&amp;base=RLAW926&amp;n=250452&amp;date=07.07.2026&amp;dst=100022&amp;field=134" TargetMode = "External"/><Relationship Id="rId92" Type="http://schemas.openxmlformats.org/officeDocument/2006/relationships/hyperlink" Target="https://login.consultant.ru/link/?req=doc&amp;base=RLAW926&amp;n=294107&amp;date=07.07.2026&amp;dst=100035&amp;field=134" TargetMode = "External"/><Relationship Id="rId93" Type="http://schemas.openxmlformats.org/officeDocument/2006/relationships/hyperlink" Target="https://login.consultant.ru/link/?req=doc&amp;base=RLAW926&amp;n=339097&amp;date=07.07.2026&amp;dst=100045&amp;field=134" TargetMode = "External"/><Relationship Id="rId94" Type="http://schemas.openxmlformats.org/officeDocument/2006/relationships/hyperlink" Target="https://login.consultant.ru/link/?req=doc&amp;base=RLAW926&amp;n=354780&amp;date=07.07.2026&amp;dst=100015&amp;field=134" TargetMode = "External"/><Relationship Id="rId95" Type="http://schemas.openxmlformats.org/officeDocument/2006/relationships/hyperlink" Target="https://login.consultant.ru/link/?req=doc&amp;base=RLAW926&amp;n=250452&amp;date=07.07.2026&amp;dst=100023&amp;field=134" TargetMode = "External"/><Relationship Id="rId96" Type="http://schemas.openxmlformats.org/officeDocument/2006/relationships/hyperlink" Target="https://login.consultant.ru/link/?req=doc&amp;base=RLAW926&amp;n=354780&amp;date=07.07.2026&amp;dst=100016&amp;field=134" TargetMode = "External"/><Relationship Id="rId97" Type="http://schemas.openxmlformats.org/officeDocument/2006/relationships/hyperlink" Target="https://login.consultant.ru/link/?req=doc&amp;base=LAW&amp;n=475991&amp;date=07.07.2026" TargetMode = "External"/><Relationship Id="rId98" Type="http://schemas.openxmlformats.org/officeDocument/2006/relationships/hyperlink" Target="https://login.consultant.ru/link/?req=doc&amp;base=RLAW926&amp;n=354780&amp;date=07.07.2026&amp;dst=100109&amp;field=134" TargetMode = "External"/><Relationship Id="rId99" Type="http://schemas.openxmlformats.org/officeDocument/2006/relationships/hyperlink" Target="https://login.consultant.ru/link/?req=doc&amp;base=LAW&amp;n=475991&amp;date=07.07.2026" TargetMode = "External"/><Relationship Id="rId100" Type="http://schemas.openxmlformats.org/officeDocument/2006/relationships/hyperlink" Target="https://login.consultant.ru/link/?req=doc&amp;base=RLAW926&amp;n=339097&amp;date=07.07.2026&amp;dst=100177&amp;field=134" TargetMode = "External"/><Relationship Id="rId101" Type="http://schemas.openxmlformats.org/officeDocument/2006/relationships/header" Target="header2.xml"/><Relationship Id="rId102" Type="http://schemas.openxmlformats.org/officeDocument/2006/relationships/footer" Target="footer2.xml"/><Relationship Id="rId103" Type="http://schemas.openxmlformats.org/officeDocument/2006/relationships/image" Target="media/image2.wmf"/><Relationship Id="rId104" Type="http://schemas.openxmlformats.org/officeDocument/2006/relationships/image" Target="media/image3.wmf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общественных и внешних связей ХМАО - Югры от 11.01.2021 N 1-нп
(ред. от 19.06.2026)
"Об утверждении Положения о региональном конкурсе инициативных проектов"</dc:title>
  <dcterms:created xsi:type="dcterms:W3CDTF">2026-07-07T05:19:28Z</dcterms:created>
</cp:coreProperties>
</file>