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954.0" w:type="dxa"/>
        <w:jc w:val="left"/>
        <w:tblInd w:w="4111.0" w:type="dxa"/>
        <w:tblLayout w:type="fixed"/>
        <w:tblLook w:val="0000"/>
      </w:tblPr>
      <w:tblGrid>
        <w:gridCol w:w="5954"/>
        <w:tblGridChange w:id="0">
          <w:tblGrid>
            <w:gridCol w:w="5954"/>
          </w:tblGrid>
        </w:tblGridChange>
      </w:tblGrid>
      <w:tr>
        <w:trPr>
          <w:cantSplit w:val="0"/>
          <w:trHeight w:val="300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УТВЕРЖДЕНО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6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Координационным советом по предоставлению грантов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Губернатора Ханты-Мансийского автономного округа – Югры на развитие гражданского общества и реализацию проектов в области культуры, искусства и креативных индустрий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«_____» ______________ 2022 г.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4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  <w:br w:type="textWrapping"/>
        <w:t xml:space="preserve">о конкурсе на предоставление грантов Губернатора Ханты-Мансийского автономного округа – Югры на развитие гражданского общества и реализацию проектов в области культуры, искусства и креативных индустрий в 2022 году в номинации проектов в сфере новых медиа, мультимедиа производства (далее - положение)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-49" w:firstLine="0"/>
        <w:jc w:val="center"/>
        <w:rPr>
          <w:b w:val="1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Настоящее положение определяет условия и порядок проведения конкурса на предоставление грантов Губернатора Ханты-Мансийского автономного округа – Югры на развитие гражданского общества и реализацию проектов в области культуры, искусства и креативных индустрий в направлении </w:t>
      </w:r>
      <w:r w:rsidDel="00000000" w:rsidR="00000000" w:rsidRPr="00000000">
        <w:rPr>
          <w:sz w:val="28"/>
          <w:szCs w:val="28"/>
          <w:rtl w:val="0"/>
        </w:rPr>
        <w:t xml:space="preserve">проектов в сфере новых медиа, мультимедиа производства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(далее соответственно – конкурс, гранты).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Конкурс проводится Фондом «Центр гражданских и социальных инициатив Югры» (далее – Фонд) в соответствии с Постановление Губернатора Ханты-Мансийского автономного округа – Югры от 31.10.2018 № 108 «О грантах Губернатора Ханты-Мансийского автономного округа – Югры на развитие гражданского общества и реализацию проектов в области культуры, искусства и креативных индустрий».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-49" w:firstLine="993"/>
        <w:jc w:val="center"/>
        <w:rPr>
          <w:b w:val="1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Направления конкурса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4"/>
          <w:tab w:val="left" w:pos="1535"/>
          <w:tab w:val="left" w:pos="3641"/>
          <w:tab w:val="left" w:pos="5325"/>
          <w:tab w:val="left" w:pos="7424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 конкурс могут быть представлены проекты по </w:t>
      </w:r>
      <w:r w:rsidDel="00000000" w:rsidR="00000000" w:rsidRPr="00000000">
        <w:rPr>
          <w:sz w:val="28"/>
          <w:szCs w:val="28"/>
          <w:rtl w:val="0"/>
        </w:rPr>
        <w:t xml:space="preserve">направлению проектов в сфере новых медиа, мультимедиа производства в поднаправлениях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анимация;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сериалы;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скетчи;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клипы;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шоу;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блоги;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социальная реклама;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синопсисы сценариев.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center"/>
        <w:rPr>
          <w:b w:val="1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Участники конкурса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конкурсе могут участвовать </w:t>
      </w:r>
      <w:r w:rsidDel="00000000" w:rsidR="00000000" w:rsidRPr="00000000">
        <w:rPr>
          <w:sz w:val="28"/>
          <w:szCs w:val="28"/>
          <w:rtl w:val="0"/>
        </w:rPr>
        <w:t xml:space="preserve">физические лица – граждане Российской Федерации, достигшие возраста 18 лет и старше (далее – заявитель)  соответствующие следующим требованиям: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отсутствие возбужденного производства по делу о несостоятельности (банкротстве) гражданина;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Del="00000000" w:rsidR="00000000" w:rsidRPr="00000000">
        <w:rPr>
          <w:sz w:val="28"/>
          <w:szCs w:val="28"/>
          <w:rtl w:val="0"/>
        </w:rPr>
        <w:t xml:space="preserve">(за исключением сумм, по которым имеется вступившее в законную силу решение суда о признании обязанности по уплате этих сумм исполненной)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в размере, превышающем одну тысячу рублей (по состоянию на дату, не ранее чем за 1 месяц до даты подачи заявки на конкурс);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851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отсутствие незавершенного дела об исполнительном производстве или нескольких производств с требованием о взыскании денежных средств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850.393700787401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Фонд осуществляет проверку заявителей на предмет соответствия требованиям, установленным </w:t>
      </w:r>
      <w:r w:rsidDel="00000000" w:rsidR="00000000" w:rsidRPr="00000000">
        <w:rPr>
          <w:sz w:val="28"/>
          <w:szCs w:val="28"/>
          <w:rtl w:val="0"/>
        </w:rPr>
        <w:t xml:space="preserve">пунктом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оложения, а также достоверность предоставленных ими сведений с использованием официальных интернет-ресурсов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b5394"/>
            <w:sz w:val="28"/>
            <w:szCs w:val="28"/>
            <w:u w:val="single"/>
            <w:vertAlign w:val="baseline"/>
            <w:rtl w:val="0"/>
          </w:rPr>
          <w:t xml:space="preserve">https://www.bankrot.fedresurs.ru</w:t>
        </w:r>
      </w:hyperlink>
      <w:hyperlink r:id="rId7">
        <w:r w:rsidDel="00000000" w:rsidR="00000000" w:rsidRPr="00000000">
          <w:rPr>
            <w:color w:val="0b5394"/>
            <w:sz w:val="28"/>
            <w:szCs w:val="28"/>
            <w:u w:val="single"/>
            <w:rtl w:val="0"/>
          </w:rPr>
          <w:t xml:space="preserve">,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b5394"/>
            <w:sz w:val="28"/>
            <w:szCs w:val="28"/>
            <w:u w:val="single"/>
            <w:vertAlign w:val="baseline"/>
            <w:rtl w:val="0"/>
          </w:rPr>
          <w:t xml:space="preserve">https://www.kad.arbitr.ru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5394"/>
          <w:sz w:val="28"/>
          <w:szCs w:val="28"/>
          <w:u w:val="none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b5394"/>
            <w:sz w:val="28"/>
            <w:szCs w:val="28"/>
            <w:u w:val="single"/>
            <w:vertAlign w:val="baseline"/>
            <w:rtl w:val="0"/>
          </w:rPr>
          <w:t xml:space="preserve">https://www.fssp.gov.ru</w:t>
        </w:r>
      </w:hyperlink>
      <w:r w:rsidDel="00000000" w:rsidR="00000000" w:rsidRPr="00000000">
        <w:rPr>
          <w:color w:val="0b5394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), на этапе заключения соглашения в случае признания такого заявителя победителем конкурса.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Участниками конкурса не могут быть (не допускаются до участия в конкурсе):</w:t>
      </w:r>
    </w:p>
    <w:p w:rsidR="00000000" w:rsidDel="00000000" w:rsidP="00000000" w:rsidRDefault="00000000" w:rsidRPr="00000000" w14:paraId="00000026">
      <w:pPr>
        <w:ind w:right="-49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заявители, у которых имеется просроченная задолженность по возврату в Фонд сумм ранее полученных грантов Губернатора, подлежащих возврату в соответствии с условиями договоров о предоставлении таких грантов;</w:t>
      </w:r>
    </w:p>
    <w:p w:rsidR="00000000" w:rsidDel="00000000" w:rsidP="00000000" w:rsidRDefault="00000000" w:rsidRPr="00000000" w14:paraId="00000027">
      <w:pPr>
        <w:ind w:right="-49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заявители, от договоров о предоставлении грантов Губернатора с которыми Фонд отказался в текущем или предшествующем календарном году в связи с нецелевым использованием гранта и (или) выявлением факта представления в Фонд подложных документов и (или) недостоверной информации;</w:t>
      </w:r>
    </w:p>
    <w:p w:rsidR="00000000" w:rsidDel="00000000" w:rsidP="00000000" w:rsidRDefault="00000000" w:rsidRPr="00000000" w14:paraId="00000028">
      <w:pPr>
        <w:ind w:right="-49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заявители, которые не представили в Фонд отчетность, предусмотренную договором о предоставлении гранта, по гранту Губернатора, использование которого завершено (если сроки представления такой отчетности наступили до дня окончания приема анкет на участие в конкурсе);</w:t>
      </w:r>
    </w:p>
    <w:p w:rsidR="00000000" w:rsidDel="00000000" w:rsidP="00000000" w:rsidRDefault="00000000" w:rsidRPr="00000000" w14:paraId="00000029">
      <w:pPr>
        <w:ind w:right="-49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заявители, находящиеся в перечне </w:t>
      </w:r>
      <w:r w:rsidDel="00000000" w:rsidR="00000000" w:rsidRPr="00000000">
        <w:rPr>
          <w:sz w:val="28"/>
          <w:szCs w:val="28"/>
          <w:rtl w:val="0"/>
        </w:rPr>
        <w:t xml:space="preserve">Федеральной службы по финансовому мониторингу организаций и физических лиц, в отношении которых имеются сведения об их причастности к экстремистской деятельности или терроризму (перечень размещен на интернет-ресурсе </w:t>
      </w:r>
      <w:hyperlink r:id="rId10">
        <w:r w:rsidDel="00000000" w:rsidR="00000000" w:rsidRPr="00000000">
          <w:rPr>
            <w:color w:val="0b5394"/>
            <w:sz w:val="28"/>
            <w:szCs w:val="28"/>
            <w:u w:val="single"/>
            <w:rtl w:val="0"/>
          </w:rPr>
          <w:t xml:space="preserve">https://www.fedsfm.ru/documents/terr-list</w:t>
        </w:r>
      </w:hyperlink>
      <w:r w:rsidDel="00000000" w:rsidR="00000000" w:rsidRPr="00000000">
        <w:rPr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0" w:line="240" w:lineRule="auto"/>
        <w:ind w:left="0" w:right="-49" w:firstLine="851"/>
        <w:jc w:val="center"/>
        <w:rPr>
          <w:b w:val="1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Подача, регистрация и рассмотрение анкет и заявок на участие в конкурсе, требования к анкетам и заявкам на участие в конкурсе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pos="1442"/>
        </w:tabs>
        <w:spacing w:line="239" w:lineRule="auto"/>
        <w:ind w:left="0" w:right="-37.795275590551114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Участие в конкурсе осуществляется в два этапа.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pos="1442"/>
        </w:tabs>
        <w:spacing w:line="239" w:lineRule="auto"/>
        <w:ind w:left="0" w:right="-37.795275590551114" w:firstLine="850.393700787401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первом этапе конкурса заявитель должен представить в Фонд анкету на русском языке в форме электронных документов посредством заполнения соответствующих электронных форм, размещенных в информационно-телекоммуникационной сети «Интернет» по адресу: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https://elkanko.ru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4"/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Анкета должна содержать следующую информацию: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4"/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тематическое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направление проекта;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4"/>
          <w:tab w:val="left" w:pos="1535"/>
        </w:tabs>
        <w:spacing w:after="0" w:before="0" w:line="240" w:lineRule="auto"/>
        <w:ind w:left="0" w:right="-49" w:firstLine="99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</w:t>
      </w:r>
      <w:r w:rsidDel="00000000" w:rsidR="00000000" w:rsidRPr="00000000">
        <w:rPr>
          <w:sz w:val="28"/>
          <w:szCs w:val="28"/>
          <w:rtl w:val="0"/>
        </w:rPr>
        <w:t xml:space="preserve">амилия, имя, отчество заявителя;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4"/>
          <w:tab w:val="left" w:pos="1535"/>
        </w:tabs>
        <w:spacing w:after="0" w:before="0" w:line="240" w:lineRule="auto"/>
        <w:ind w:left="0" w:right="-49" w:firstLine="99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регион Российской Федерации, населенный пункт (место проживания) заявителя;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4"/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название проекта, на реализацию которого запрашивается грант;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4"/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описание проекта, включая обоснование уникальности проекта и общественной </w:t>
      </w:r>
      <w:r w:rsidDel="00000000" w:rsidR="00000000" w:rsidRPr="00000000">
        <w:rPr>
          <w:sz w:val="28"/>
          <w:szCs w:val="28"/>
          <w:rtl w:val="0"/>
        </w:rPr>
        <w:t xml:space="preserve">значимости;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ссылка на дополнительные материалы  (презентация проекта, видео о проекте, примеры ранее выполненных проектов);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заверение о следующих обстоятельствах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актуальности и достоверности информации, представленной в составе </w:t>
      </w:r>
      <w:r w:rsidDel="00000000" w:rsidR="00000000" w:rsidRPr="00000000">
        <w:rPr>
          <w:sz w:val="28"/>
          <w:szCs w:val="28"/>
          <w:rtl w:val="0"/>
        </w:rPr>
        <w:t xml:space="preserve">анкеты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актуальности и подлинности документов (электронных копий документов), представленных в составе </w:t>
      </w:r>
      <w:r w:rsidDel="00000000" w:rsidR="00000000" w:rsidRPr="00000000">
        <w:rPr>
          <w:sz w:val="28"/>
          <w:szCs w:val="28"/>
          <w:rtl w:val="0"/>
        </w:rPr>
        <w:t xml:space="preserve">анкеты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отсутствии в проекте мероприятий, осуществление которых нарушает требования законодательства;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отсутствии в </w:t>
      </w:r>
      <w:r w:rsidDel="00000000" w:rsidR="00000000" w:rsidRPr="00000000">
        <w:rPr>
          <w:sz w:val="28"/>
          <w:szCs w:val="28"/>
          <w:rtl w:val="0"/>
        </w:rPr>
        <w:t xml:space="preserve">анкете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информации, использование которой нарушает требования законодательства;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отсутствии в </w:t>
      </w:r>
      <w:r w:rsidDel="00000000" w:rsidR="00000000" w:rsidRPr="00000000">
        <w:rPr>
          <w:sz w:val="28"/>
          <w:szCs w:val="28"/>
          <w:rtl w:val="0"/>
        </w:rPr>
        <w:t xml:space="preserve">анкете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персональных данных, предоставление и обработка которых нарушает права и законные интересы субъекта персональных данных;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соответствии заявителя всем требованиям раздела III </w:t>
      </w:r>
      <w:r w:rsidDel="00000000" w:rsidR="00000000" w:rsidRPr="00000000">
        <w:rPr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tabs>
          <w:tab w:val="left" w:pos="1535"/>
        </w:tabs>
        <w:ind w:left="0" w:right="-49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Заявитель, представивший  анкету, считается выразившим согласие на обработку и хранение персональных данных в соответствии с Федеральным законом от 27.07.2006 № 152-ФЗ «О персональных данных».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tabs>
          <w:tab w:val="left" w:pos="1535"/>
        </w:tabs>
        <w:ind w:left="0" w:right="-49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Информация, предусмотренная пунктом 9 настоящего положения, в каждой из указанных форм должна соответствовать информации в других формах.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pos="1535"/>
        </w:tabs>
        <w:ind w:left="0" w:right="-49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Один участник конкурса вправе представить на участие в конкурсе не более одного проекта в каждом направлении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pos="1535"/>
        </w:tabs>
        <w:ind w:left="0" w:right="-49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Анкеты должны быть представлены в течение срока приема анкет на участие в конкурсе.</w:t>
      </w:r>
    </w:p>
    <w:p w:rsidR="00000000" w:rsidDel="00000000" w:rsidP="00000000" w:rsidRDefault="00000000" w:rsidRPr="00000000" w14:paraId="00000041">
      <w:pPr>
        <w:ind w:right="-49" w:firstLine="99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 начала приема анкет – 1 мая 2022 года. Дата окончания приема анкет – 15 мая 2022 года.</w:t>
      </w:r>
    </w:p>
    <w:p w:rsidR="00000000" w:rsidDel="00000000" w:rsidP="00000000" w:rsidRDefault="00000000" w:rsidRPr="00000000" w14:paraId="00000042">
      <w:pPr>
        <w:ind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Фонд завершает прием анкет на участие в конкурсе 15 мая 2022 года в 23:30 по местному времени. Информация и документы, поступившие в Фонд после указанного времени, не учитываются и не рассматриваются, за исключением информации и документов, которые запрошены у заявителя Фондом.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Рассмотрение </w:t>
      </w:r>
      <w:r w:rsidDel="00000000" w:rsidR="00000000" w:rsidRPr="00000000">
        <w:rPr>
          <w:sz w:val="28"/>
          <w:szCs w:val="28"/>
          <w:rtl w:val="0"/>
        </w:rPr>
        <w:t xml:space="preserve">анкеты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на участие в конкурсе может быть прекращено Фондом по заявлению, подписанному лицом, имеющим право действовать от имени участника конкурса, представившего данную </w:t>
      </w:r>
      <w:r w:rsidDel="00000000" w:rsidR="00000000" w:rsidRPr="00000000">
        <w:rPr>
          <w:sz w:val="28"/>
          <w:szCs w:val="28"/>
          <w:rtl w:val="0"/>
        </w:rPr>
        <w:t xml:space="preserve">анкету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течение 1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рабочих дней со дня окончания приема </w:t>
      </w:r>
      <w:r w:rsidDel="00000000" w:rsidR="00000000" w:rsidRPr="00000000">
        <w:rPr>
          <w:sz w:val="28"/>
          <w:szCs w:val="28"/>
          <w:rtl w:val="0"/>
        </w:rPr>
        <w:t xml:space="preserve">анкет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Фонд информирует о зарегистрированных </w:t>
      </w:r>
      <w:r w:rsidDel="00000000" w:rsidR="00000000" w:rsidRPr="00000000">
        <w:rPr>
          <w:sz w:val="28"/>
          <w:szCs w:val="28"/>
          <w:rtl w:val="0"/>
        </w:rPr>
        <w:t xml:space="preserve">анкетах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и о выявленных в отношении них несоответствиях требованиям настоящего положения экспертный совет, созданный Координационным советом по предоставлению грантов Губернатора Ханты-Мансийского автономного округу – Югры на развитие гражданского общества и реализацию проектов в области культуры, искусства и креативных индустрий (далее соответственно – экспертный совет, Координационный совет).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Экспертный совет не допускает </w:t>
      </w:r>
      <w:r w:rsidDel="00000000" w:rsidR="00000000" w:rsidRPr="00000000">
        <w:rPr>
          <w:sz w:val="28"/>
          <w:szCs w:val="28"/>
          <w:rtl w:val="0"/>
        </w:rPr>
        <w:t xml:space="preserve">анкету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на участи</w:t>
      </w:r>
      <w:r w:rsidDel="00000000" w:rsidR="00000000" w:rsidRPr="00000000">
        <w:rPr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в конкурсе до независимой экспертизы и прекращает ее рассмотрение, если: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анкета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на участие в конкурсе представлена лицом, не соответствующим требованиям, установленным настоящим положением;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анкета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на участие в конкурсе не соответствует требованиям настоящего положения;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анкета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на участие в конкурсе содержит информацию, использование которой нарушает требования законодательства;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представленный на конкурс проект предусматривает мероприятия, осуществление которых нарушает требования законодательства;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заявителем в Фонд представлены подложные документы и (или) недостоверная информация, в том числе даны недостоверные заверения.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Порядок проведения независимой экспертизы представленных на конкурс проектов определяется экспертным советом и размещается на официальном сайте Фонда.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Экспертный совет вправе устанавливать специальные условия проведения независимой экспертизы представленных на конкурс проектов в каждом из поднаправлений конкурса.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Состав экспертов конкурса формируется экспертным советом. Состав экспертов конкурса не разглашается.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Эксперт конкурса при оценке </w:t>
      </w:r>
      <w:r w:rsidDel="00000000" w:rsidR="00000000" w:rsidRPr="00000000">
        <w:rPr>
          <w:sz w:val="28"/>
          <w:szCs w:val="28"/>
          <w:rtl w:val="0"/>
        </w:rPr>
        <w:t xml:space="preserve">анкет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не вправе вступать в контакты с участниками конкурса, в том числе обсуждать с ними поданные ими </w:t>
      </w:r>
      <w:r w:rsidDel="00000000" w:rsidR="00000000" w:rsidRPr="00000000">
        <w:rPr>
          <w:sz w:val="28"/>
          <w:szCs w:val="28"/>
          <w:rtl w:val="0"/>
        </w:rPr>
        <w:t xml:space="preserve">анкеты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, напрямую запрашивать документы, информацию и (или) пояснения. Эксперт конкурса не вправе рассматривать </w:t>
      </w:r>
      <w:r w:rsidDel="00000000" w:rsidR="00000000" w:rsidRPr="00000000">
        <w:rPr>
          <w:sz w:val="28"/>
          <w:szCs w:val="28"/>
          <w:rtl w:val="0"/>
        </w:rPr>
        <w:t xml:space="preserve">анкету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, представленную </w:t>
      </w:r>
      <w:r w:rsidDel="00000000" w:rsidR="00000000" w:rsidRPr="00000000">
        <w:rPr>
          <w:sz w:val="28"/>
          <w:szCs w:val="28"/>
          <w:rtl w:val="0"/>
        </w:rPr>
        <w:t xml:space="preserve">заявителем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, если данный </w:t>
      </w:r>
      <w:r w:rsidDel="00000000" w:rsidR="00000000" w:rsidRPr="00000000">
        <w:rPr>
          <w:sz w:val="28"/>
          <w:szCs w:val="28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является близким родственником эксперта конкурса, также в иных случаях, если имеются обстоятельства, дающие основание полагать, что эксперт конкурса лично, прямо или косвенно заинтересован в результатах рассмотрения </w:t>
      </w:r>
      <w:r w:rsidDel="00000000" w:rsidR="00000000" w:rsidRPr="00000000">
        <w:rPr>
          <w:sz w:val="28"/>
          <w:szCs w:val="28"/>
          <w:rtl w:val="0"/>
        </w:rPr>
        <w:t xml:space="preserve">анкеты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Анкеты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, допущенные до независимой экспертизы, оцениваются экспертами конкурса по критериям, определенным в настоящем положении.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 каждому критерию эксперт конкурса присваивает </w:t>
      </w:r>
      <w:r w:rsidDel="00000000" w:rsidR="00000000" w:rsidRPr="00000000">
        <w:rPr>
          <w:sz w:val="28"/>
          <w:szCs w:val="28"/>
          <w:rtl w:val="0"/>
        </w:rPr>
        <w:t xml:space="preserve">анкете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от 0 до 10 баллов (целым числом).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Каждая </w:t>
      </w:r>
      <w:r w:rsidDel="00000000" w:rsidR="00000000" w:rsidRPr="00000000">
        <w:rPr>
          <w:sz w:val="28"/>
          <w:szCs w:val="28"/>
          <w:rtl w:val="0"/>
        </w:rPr>
        <w:t xml:space="preserve">анкета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оценивается</w:t>
      </w:r>
      <w:r w:rsidDel="00000000" w:rsidR="00000000" w:rsidRPr="00000000">
        <w:rPr>
          <w:sz w:val="28"/>
          <w:szCs w:val="28"/>
          <w:rtl w:val="0"/>
        </w:rPr>
        <w:t xml:space="preserve"> группой независимых экспертов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Экспертный совет рассматривает </w:t>
      </w:r>
      <w:r w:rsidDel="00000000" w:rsidR="00000000" w:rsidRPr="00000000">
        <w:rPr>
          <w:sz w:val="28"/>
          <w:szCs w:val="28"/>
          <w:rtl w:val="0"/>
        </w:rPr>
        <w:t xml:space="preserve">анкеты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с учетом их предварительного рейтинга, сформированного на основе балл</w:t>
      </w:r>
      <w:r w:rsidDel="00000000" w:rsidR="00000000" w:rsidRPr="00000000">
        <w:rPr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, присвоенн</w:t>
      </w:r>
      <w:r w:rsidDel="00000000" w:rsidR="00000000" w:rsidRPr="00000000">
        <w:rPr>
          <w:sz w:val="28"/>
          <w:szCs w:val="28"/>
          <w:rtl w:val="0"/>
        </w:rPr>
        <w:t xml:space="preserve">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анкетам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групп</w:t>
      </w:r>
      <w:r w:rsidDel="00000000" w:rsidR="00000000" w:rsidRPr="00000000">
        <w:rPr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эксперт</w:t>
      </w:r>
      <w:r w:rsidDel="00000000" w:rsidR="00000000" w:rsidRPr="00000000">
        <w:rPr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конкурса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 к</w:t>
      </w:r>
      <w:r w:rsidDel="00000000" w:rsidR="00000000" w:rsidRPr="00000000">
        <w:rPr>
          <w:sz w:val="28"/>
          <w:szCs w:val="28"/>
          <w:rtl w:val="0"/>
        </w:rPr>
        <w:t xml:space="preserve">ритериям, описанным в разделе V положения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 По результатам рассмотрения экспертный совет определяет рейтинг каждой </w:t>
      </w:r>
      <w:r w:rsidDel="00000000" w:rsidR="00000000" w:rsidRPr="00000000">
        <w:rPr>
          <w:sz w:val="28"/>
          <w:szCs w:val="28"/>
          <w:rtl w:val="0"/>
        </w:rPr>
        <w:t xml:space="preserve">анкеты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Для подготовки рассмотрения </w:t>
      </w:r>
      <w:r w:rsidDel="00000000" w:rsidR="00000000" w:rsidRPr="00000000">
        <w:rPr>
          <w:sz w:val="28"/>
          <w:szCs w:val="28"/>
          <w:rtl w:val="0"/>
        </w:rPr>
        <w:t xml:space="preserve">анкет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на участие в конкурсе на заседании экспертного совета экспертный совет вправе проводить совещания, в том числе с приглашением членов Координационного совета, специалист</w:t>
      </w:r>
      <w:r w:rsidDel="00000000" w:rsidR="00000000" w:rsidRPr="00000000">
        <w:rPr>
          <w:sz w:val="28"/>
          <w:szCs w:val="28"/>
          <w:rtl w:val="0"/>
        </w:rPr>
        <w:t xml:space="preserve">ов в грантовой тематике конкурса,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экспертных организаций, экспертов конкурса и (или) работников Фонда.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Экспертный совет также вправе проводить совещания и заседания, включающие публичную защиту проектов заявителей, набравших максимальное количество баллов независимых экспертов</w:t>
      </w:r>
      <w:r w:rsidDel="00000000" w:rsidR="00000000" w:rsidRPr="00000000">
        <w:rPr>
          <w:sz w:val="28"/>
          <w:szCs w:val="28"/>
          <w:rtl w:val="0"/>
        </w:rPr>
        <w:t xml:space="preserve">, находящихся на первых трех строчках в предварительном рейтинге проектов участников конкурса в каждом поднаправлении.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 результатам рассмотрения </w:t>
      </w:r>
      <w:r w:rsidDel="00000000" w:rsidR="00000000" w:rsidRPr="00000000">
        <w:rPr>
          <w:sz w:val="28"/>
          <w:szCs w:val="28"/>
          <w:rtl w:val="0"/>
        </w:rPr>
        <w:t xml:space="preserve">анкет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на участие в конкурсе экспертный совет формирует переч</w:t>
      </w:r>
      <w:r w:rsidDel="00000000" w:rsidR="00000000" w:rsidRPr="00000000">
        <w:rPr>
          <w:sz w:val="28"/>
          <w:szCs w:val="28"/>
          <w:rtl w:val="0"/>
        </w:rPr>
        <w:t xml:space="preserve">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финалистов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конкурса, </w:t>
      </w:r>
      <w:r w:rsidDel="00000000" w:rsidR="00000000" w:rsidRPr="00000000">
        <w:rPr>
          <w:sz w:val="28"/>
          <w:szCs w:val="28"/>
          <w:rtl w:val="0"/>
        </w:rPr>
        <w:t xml:space="preserve">включающий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информацию по трем анкетам в каждом поднаправлении, набравшим наибольшее количество баллов. Финалисты выходят во второй этап конкурса.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втором этапе финалисты конкурса заполняют заявку посредством заполнения соответствующих электронных форм, размещенных в информационно-телекоммуникационной сети «Интернет» по адресу: грантгубернатора.рф, которая должна содержать следующую информацию: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0" w:right="-49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грантовое поднаправление; </w:t>
      </w:r>
    </w:p>
    <w:p w:rsidR="00000000" w:rsidDel="00000000" w:rsidP="00000000" w:rsidRDefault="00000000" w:rsidRPr="00000000" w14:paraId="00000058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название проекта, на реализацию которого запрашивается грант Губернатора; </w:t>
      </w:r>
    </w:p>
    <w:p w:rsidR="00000000" w:rsidDel="00000000" w:rsidP="00000000" w:rsidRDefault="00000000" w:rsidRPr="00000000" w14:paraId="00000059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краткое описание проекта; </w:t>
      </w:r>
    </w:p>
    <w:p w:rsidR="00000000" w:rsidDel="00000000" w:rsidP="00000000" w:rsidRDefault="00000000" w:rsidRPr="00000000" w14:paraId="0000005A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география проекта; </w:t>
      </w:r>
    </w:p>
    <w:p w:rsidR="00000000" w:rsidDel="00000000" w:rsidP="00000000" w:rsidRDefault="00000000" w:rsidRPr="00000000" w14:paraId="0000005B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срок реализации проекта; </w:t>
      </w:r>
    </w:p>
    <w:p w:rsidR="00000000" w:rsidDel="00000000" w:rsidP="00000000" w:rsidRDefault="00000000" w:rsidRPr="00000000" w14:paraId="0000005C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обоснование социальной значимости проекта; </w:t>
      </w:r>
    </w:p>
    <w:p w:rsidR="00000000" w:rsidDel="00000000" w:rsidP="00000000" w:rsidRDefault="00000000" w:rsidRPr="00000000" w14:paraId="0000005D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целевые группы проекта; </w:t>
      </w:r>
    </w:p>
    <w:p w:rsidR="00000000" w:rsidDel="00000000" w:rsidP="00000000" w:rsidRDefault="00000000" w:rsidRPr="00000000" w14:paraId="0000005E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цель (цели) и задачи проекта; </w:t>
      </w:r>
    </w:p>
    <w:p w:rsidR="00000000" w:rsidDel="00000000" w:rsidP="00000000" w:rsidRDefault="00000000" w:rsidRPr="00000000" w14:paraId="0000005F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ожидаемые количественные и качественные результаты проекта; </w:t>
      </w:r>
    </w:p>
    <w:p w:rsidR="00000000" w:rsidDel="00000000" w:rsidP="00000000" w:rsidRDefault="00000000" w:rsidRPr="00000000" w14:paraId="00000060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общая сумма расходов на реализацию проекта; </w:t>
      </w:r>
    </w:p>
    <w:p w:rsidR="00000000" w:rsidDel="00000000" w:rsidP="00000000" w:rsidRDefault="00000000" w:rsidRPr="00000000" w14:paraId="00000061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запрашиваемая сумма гранта; </w:t>
      </w:r>
    </w:p>
    <w:p w:rsidR="00000000" w:rsidDel="00000000" w:rsidP="00000000" w:rsidRDefault="00000000" w:rsidRPr="00000000" w14:paraId="00000062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календарный план проекта; </w:t>
      </w:r>
    </w:p>
    <w:p w:rsidR="00000000" w:rsidDel="00000000" w:rsidP="00000000" w:rsidRDefault="00000000" w:rsidRPr="00000000" w14:paraId="00000063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бюджет проекта; </w:t>
      </w:r>
    </w:p>
    <w:p w:rsidR="00000000" w:rsidDel="00000000" w:rsidP="00000000" w:rsidRDefault="00000000" w:rsidRPr="00000000" w14:paraId="00000064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информация о руководителе проекта; </w:t>
      </w:r>
    </w:p>
    <w:p w:rsidR="00000000" w:rsidDel="00000000" w:rsidP="00000000" w:rsidRDefault="00000000" w:rsidRPr="00000000" w14:paraId="00000065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информация о команде проекта; 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tabs>
          <w:tab w:val="left" w:pos="1535"/>
        </w:tabs>
        <w:ind w:right="-49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ссылка на дополнительные материалы  (презентация проекта, видео о проекте, примеры ранее выполненных проектов);</w:t>
      </w:r>
    </w:p>
    <w:p w:rsidR="00000000" w:rsidDel="00000000" w:rsidP="00000000" w:rsidRDefault="00000000" w:rsidRPr="00000000" w14:paraId="00000067">
      <w:pPr>
        <w:widowControl w:val="1"/>
        <w:numPr>
          <w:ilvl w:val="0"/>
          <w:numId w:val="4"/>
        </w:numPr>
        <w:ind w:left="0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заверение о соответствии требованиям, установленным разделом III положения. </w:t>
      </w:r>
    </w:p>
    <w:p w:rsidR="00000000" w:rsidDel="00000000" w:rsidP="00000000" w:rsidRDefault="00000000" w:rsidRPr="00000000" w14:paraId="00000068">
      <w:pPr>
        <w:widowControl w:val="1"/>
        <w:ind w:firstLine="992.125984251968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заявке должен прилагаться электронный образ (сканированная копия) документа, удостоверяющего личность заявителя – паспорт гражданина Российской Федерации (листы 1, 2, лист с актуальными сведениями о месте жительства). </w:t>
      </w:r>
    </w:p>
    <w:p w:rsidR="00000000" w:rsidDel="00000000" w:rsidP="00000000" w:rsidRDefault="00000000" w:rsidRPr="00000000" w14:paraId="00000069">
      <w:pPr>
        <w:widowControl w:val="1"/>
        <w:ind w:firstLine="992.125984251968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Информация, предусмотренная настоящим пунктом, в каждой из указанных форм должна соответствовать информации в других формах, в том числе в формах, ранее представленных в Фонд.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tabs>
          <w:tab w:val="left" w:pos="1535"/>
        </w:tabs>
        <w:ind w:right="-49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Запрашиваемая сумма гранта в заявке не может превышать 1 000 000,00 (один миллион) рублей (включая расходы на банковское обслуживание, систему электронного документооборота, выпуск и обслуживание электронной цифровой подписи).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Заявки должны быть представлены в течение срока приема заявок на участие в конкурсе.</w:t>
      </w:r>
    </w:p>
    <w:p w:rsidR="00000000" w:rsidDel="00000000" w:rsidP="00000000" w:rsidRDefault="00000000" w:rsidRPr="00000000" w14:paraId="0000006D">
      <w:pPr>
        <w:ind w:right="-49" w:firstLine="99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 начала приема заявок – 21 мая 2022 года. Дата окончания приема заявок – 25 мая 2022 года.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Фонд завершает прием заявок на участие в конкурсе 25 мая 2022 года в 23:30 по местному времени</w:t>
      </w:r>
      <w:r w:rsidDel="00000000" w:rsidR="00000000" w:rsidRPr="00000000">
        <w:rPr>
          <w:sz w:val="28"/>
          <w:szCs w:val="28"/>
          <w:rtl w:val="0"/>
        </w:rPr>
        <w:t xml:space="preserve">. Информация и документы, поступившие в Фонд после указанного времени, не учитываются и не рассматриваются, за исключением информации и документов, которые запрошены у заявителя Фондом.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tabs>
          <w:tab w:val="left" w:pos="1535"/>
        </w:tabs>
        <w:ind w:left="0" w:right="-49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Заявка на участие в конкурсе Информация и документы, представленные в Фонд лицом, не уполномоченным на совершение соответствующих действий от имени заявителя, не признаются заявкой на участие в конкурсе, не учитываются и со дня выявления факта их представления неуполномоченным лицом не рассматриваются.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tabs>
          <w:tab w:val="left" w:pos="1535"/>
        </w:tabs>
        <w:ind w:left="0" w:right="-49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Заявка на участие в конкурсе, поступившая в Фонд в течение срока приема заявок, указанного в пункте 28 настоящего положения, регистрируется в Фонде с размещением информации о регистрации на сайте конкурса, в том числе с указанием на выявленные Фондом несоответствия требованиям настоящего положения, в течение десяти рабочих дней со дня представления заявки.</w:t>
      </w:r>
    </w:p>
    <w:p w:rsidR="00000000" w:rsidDel="00000000" w:rsidP="00000000" w:rsidRDefault="00000000" w:rsidRPr="00000000" w14:paraId="00000071">
      <w:pPr>
        <w:ind w:right="-49" w:firstLine="99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Заявитель в течение срока приема заявок, указанного в пункте 28 настоящего положения, вправе через сайт конкурса внести изменения в заявку на участие в конкурсе с целью устранения выявленных Фондом несоответствий заявки требованиям настоящего положения (если данное несоответствие возможно устранить).</w:t>
      </w:r>
    </w:p>
    <w:p w:rsidR="00000000" w:rsidDel="00000000" w:rsidP="00000000" w:rsidRDefault="00000000" w:rsidRPr="00000000" w14:paraId="00000072">
      <w:pPr>
        <w:ind w:right="-49" w:firstLine="99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Заявка на участие в конкурсе,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законодательства, не регистрируется.</w:t>
      </w:r>
    </w:p>
    <w:p w:rsidR="00000000" w:rsidDel="00000000" w:rsidP="00000000" w:rsidRDefault="00000000" w:rsidRPr="00000000" w14:paraId="00000073">
      <w:pPr>
        <w:ind w:right="-49" w:firstLine="99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сайте конкурса размещается информация о каждой зарегистрированной заявке на участие в конкурсе.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течение 5 рабочих дней со дня окончания приема заявок от </w:t>
      </w:r>
      <w:r w:rsidDel="00000000" w:rsidR="00000000" w:rsidRPr="00000000">
        <w:rPr>
          <w:sz w:val="28"/>
          <w:szCs w:val="28"/>
          <w:rtl w:val="0"/>
        </w:rPr>
        <w:t xml:space="preserve">финалистов конкурса, заявки передаются на оценку группы экспертов определенных экспертным советом, по критериям, определенным в настоящем положении.</w:t>
      </w:r>
    </w:p>
    <w:p w:rsidR="00000000" w:rsidDel="00000000" w:rsidP="00000000" w:rsidRDefault="00000000" w:rsidRPr="00000000" w14:paraId="00000075">
      <w:pPr>
        <w:ind w:right="-49" w:firstLine="99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каждому критерию группа экспертов присваивает заявке от 0 до 10 баллов (целым числом).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Определение победителей конкурса из числа финалистов конкурса  осуществляется по итогам защиты проектов, в ходе которой группа экспертов голосует за проекты с учетом результатов оценки заявок.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Фонд представляет на </w:t>
      </w:r>
      <w:r w:rsidDel="00000000" w:rsidR="00000000" w:rsidRPr="00000000">
        <w:rPr>
          <w:sz w:val="28"/>
          <w:szCs w:val="28"/>
          <w:rtl w:val="0"/>
        </w:rPr>
        <w:t xml:space="preserve">согласование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Координационного совета </w:t>
      </w:r>
      <w:r w:rsidDel="00000000" w:rsidR="00000000" w:rsidRPr="00000000">
        <w:rPr>
          <w:sz w:val="28"/>
          <w:szCs w:val="28"/>
          <w:rtl w:val="0"/>
        </w:rPr>
        <w:t xml:space="preserve">рейтинг проектов участников конкурса,</w:t>
      </w:r>
      <w:r w:rsidDel="00000000" w:rsidR="00000000" w:rsidRPr="00000000">
        <w:rPr>
          <w:rFonts w:ascii="Arial" w:cs="Arial" w:eastAsia="Arial" w:hAnsi="Arial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перечень победителей конкурса, подготовленный в соответствии с решением экспертного совета, включающий предложения по размерам грантов, предоставляемых на реализацию каждого проекта, а также предложение по общему объему грантов, предоставляемых по результатам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Координационный совет осуществляет контроль за обеспечением равных условий для участников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течение пяти рабочих дней со дня утверждения Координационным советом итогового </w:t>
      </w:r>
      <w:r w:rsidDel="00000000" w:rsidR="00000000" w:rsidRPr="00000000">
        <w:rPr>
          <w:sz w:val="28"/>
          <w:szCs w:val="28"/>
          <w:rtl w:val="0"/>
        </w:rPr>
        <w:t xml:space="preserve">рейтинга проектов участников конкурса, итогового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перечня победителей конкурса и определения общего объема грантов, предоставляемых по результатам конкурса, Фонд размещает перечень победителей конкурса на сайте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Срок реализации проекта (в части деятельности, на финансовое обеспечение которой запрашивается грант) должен начинаться не ранее </w:t>
      </w:r>
      <w:r w:rsidDel="00000000" w:rsidR="00000000" w:rsidRPr="00000000">
        <w:rPr>
          <w:sz w:val="28"/>
          <w:szCs w:val="28"/>
          <w:rtl w:val="0"/>
        </w:rPr>
        <w:t xml:space="preserve">1 июня 2022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и завершаться не позднее </w:t>
      </w:r>
      <w:r w:rsidDel="00000000" w:rsidR="00000000" w:rsidRPr="00000000">
        <w:rPr>
          <w:sz w:val="28"/>
          <w:szCs w:val="28"/>
          <w:rtl w:val="0"/>
        </w:rPr>
        <w:t xml:space="preserve">31 декабря 2022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 мотивированному предложению победителя конкурса Фондом может быть согласовано продление срока реализации проекта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49" w:firstLine="850.3937007874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Не допускается осуществление за счет гранта следующих расходов: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расходов, непосредственно не связанных с реализацией проекта; расходов на приобретение недвижимого имущества (включая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земельные участки), капитальное строительство новых зданий;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расходов на приобретение алкогольной и табачной продукции, а также товаров, которые являются предметами роскоши;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уплаты штрафов, пеней, </w:t>
      </w:r>
      <w:r w:rsidDel="00000000" w:rsidR="00000000" w:rsidRPr="00000000">
        <w:rPr>
          <w:sz w:val="28"/>
          <w:szCs w:val="28"/>
          <w:rtl w:val="0"/>
        </w:rPr>
        <w:t xml:space="preserve">погашение задолженностей;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приобретение ценных бумаг, иностранной валюты;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оплату труда руководителя проекта.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-49" w:firstLine="993"/>
        <w:jc w:val="center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Критерии оценки анкет и заявок на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участие в конкурсе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right="-49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Оценка анкет на участие в конкурсе осуществляется в два этапа. На первом этапе учитываются следующие критерии: сюжетная линия, музыкальная подборка, актерская игра, режиссура, отрисовка материала (анимация), ясность изложения, подбор визуального материала, привлекательность названия контента, актуальность и общественная значимость. 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tabs>
          <w:tab w:val="left" w:pos="1535"/>
        </w:tabs>
        <w:ind w:right="-49" w:firstLine="850.3937007874017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По результатам оценки определяются три лучшие анкеты в каждой номинации, которые выходят во второй этап. Участники заполняют заявку по форме Приложение , которая оценивается по следующим критериям с учетом коэффициентов значимости.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6825"/>
        <w:gridCol w:w="2355"/>
        <w:tblGridChange w:id="0">
          <w:tblGrid>
            <w:gridCol w:w="570"/>
            <w:gridCol w:w="6825"/>
            <w:gridCol w:w="2355"/>
          </w:tblGrid>
        </w:tblGridChange>
      </w:tblGrid>
      <w:tr>
        <w:trPr>
          <w:cantSplit w:val="0"/>
          <w:trHeight w:val="837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-49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17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Критерии оценки заявок на участие в конкурсе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14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Коэффициенты значимости для заявок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-4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1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Актуальность и общественная значимость проекта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-4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3"/>
                <w:tab w:val="left" w:pos="2817"/>
                <w:tab w:val="left" w:pos="3214"/>
              </w:tabs>
              <w:spacing w:after="0" w:before="0" w:line="240" w:lineRule="auto"/>
              <w:ind w:left="168" w:right="11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Логическая связность и реализуемость проекта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-4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1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Реалистичность бюджета проекта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.37304687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-4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1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Увлекательность контента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-4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1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Качество контента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-4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8"/>
                <w:tab w:val="left" w:pos="3344"/>
              </w:tabs>
              <w:spacing w:after="0" w:before="0" w:line="240" w:lineRule="auto"/>
              <w:ind w:left="168" w:right="11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Мастерство исполнителя, креативность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-49" w:firstLine="851"/>
        <w:jc w:val="center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Порядок предоставления грантов и осуществления контроля за их использованием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Не позднее дня размещения на сайте конкурса перечня победителей конкурса Фонд размещает на нем информацию о процедуре заключения с победителями конкурса договоров о предоставлении грантов.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Участник конкурса, не имеющего юридического лица, или статуса индивидуального предпринимателя, должен зарегистрировать юридическое лицо, или получить статус индивидуального предпринимателя.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случае если победитель конкурса в течение сорока пяти дней со дня размещения указанной информации на официальном сайте не совершит действий, необходимых для заключения договора о предоставлении гранта, Фонд вправе не заключать договор о предоставлении гранта с таким победителем конкурса.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случае выявления факта представления победителем конкурса в Фонд подложных документов и (или) недостоверной информации, в том числе недостоверных заверений, Фонд вправе исключить такого победителя конкурса из перечня победителей конкурса и (или) не заключать с ним договор о предоставлении гранта.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В целях осуществления контроля за целевым расходованием средств гранта, договоры заключаются с победителями конкурса, осуществляющими полномочия единоличного исполнительного органа юридического лица (коммерческого или некоммерческого) или победителями, имеющими статус индивидуального предпринимателя, с соблюдением условий: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юридическое лицо не находится в процессе ликвидации, в отношении него не возбуждено производство по делу о несостоятельности (банкротстве), деятельность юридического лица не приостановлена в порядке, предусмотренном законодательством Российской Федерации; </w:t>
      </w:r>
    </w:p>
    <w:p w:rsidR="00000000" w:rsidDel="00000000" w:rsidP="00000000" w:rsidRDefault="00000000" w:rsidRPr="00000000" w14:paraId="000000A8">
      <w:pPr>
        <w:widowControl w:val="1"/>
        <w:numPr>
          <w:ilvl w:val="0"/>
          <w:numId w:val="8"/>
        </w:numPr>
        <w:ind w:left="0" w:firstLine="850.393700787401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информация о юридическом лице отсутствует в сервисе Федеральной налоговой службы о юридических лицах, не представляющих налоговую отчетность более года и/или имеющих превышающую одну тысячу рублей задолженность по уплате налогов, которая направлялась на взыскание судебному приставу-исполнителю (далее – сервис), у организации отсутствует задолженность по налогам, превышающая одну тысячу рублей (за исключением сумм, по которым имеется вступившее в законную силу решение суда о признании обязанности организации по уплате этих сумм выполненными). В случае наличия информации в сервисе, организация признается соответствующей установленному в настоящем пункте требованию в случае, если ею в установленном порядке подано заявление об обжаловании указанной задолженности и (или) решение суда по такому заявлению на дату подачи организацией заявки на участие в конкурсе не принято, или имеется решение суда. Организация вправе самостоятельно предоставить справку об отсутствии задолженности, полученную в установленном порядке в Федеральной налоговой службе.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5.0000000000001"/>
        </w:tabs>
        <w:spacing w:after="0" w:before="0" w:line="240" w:lineRule="auto"/>
        <w:ind w:left="0" w:right="-49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Договор с победителям не заключается, в случаях, если в отношении него имеются сведения о возможной причастности к экстремистской деятельности, а также в случае его нахождения в следующих перечнях:</w:t>
      </w:r>
    </w:p>
    <w:p w:rsidR="00000000" w:rsidDel="00000000" w:rsidP="00000000" w:rsidRDefault="00000000" w:rsidRPr="00000000" w14:paraId="000000AA">
      <w:pPr>
        <w:spacing w:line="264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общественных объединений и религиозных организаций,в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деятельности»;</w:t>
      </w:r>
    </w:p>
    <w:p w:rsidR="00000000" w:rsidDel="00000000" w:rsidP="00000000" w:rsidRDefault="00000000" w:rsidRPr="00000000" w14:paraId="000000AB">
      <w:pPr>
        <w:spacing w:line="264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общественных и религиозных объединений, деятельность которых приостановлена в связи с осуществлением ими экстремистской деятельности;</w:t>
      </w:r>
    </w:p>
    <w:p w:rsidR="00000000" w:rsidDel="00000000" w:rsidP="00000000" w:rsidRDefault="00000000" w:rsidRPr="00000000" w14:paraId="000000AC">
      <w:pPr>
        <w:spacing w:line="264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00000" w:rsidDel="00000000" w:rsidP="00000000" w:rsidRDefault="00000000" w:rsidRPr="00000000" w14:paraId="000000AD">
      <w:pPr>
        <w:spacing w:line="264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едином федеральном списке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Договор о предоставлении гранта, заключаемый Фондом с победителем конкурса, должен предусматривать: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название проекта, на реализацию которого предоставляется грант;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размер гранта, условия и порядок его предоставления;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срок реализации проекта;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бюджет проекта, определяющий распределение гранта по статьям (видам) расходов, порядок внесения в него изменений;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порядок осуществления контроля за использованием гранта, в том числе порядок и сроки представления победителем конкурса отчетности, подтверждающей целевое использование гранта;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запрет на размещение гранта в срочных инструментах, включая депозиты, начисление процентов на остаток по счету победителя конкурса, на который предоставляется грант;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права Фонда: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признать сумму гранта, которая была использована победителем конкурса с нарушением условий настоящего положения и (или) договора о предоставлении гранта, использованной не по целевому назначению и потребовать ее возврата;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приостановить предоставление гранта в случаях, предусмотренных договором о предоставлении гранта (если грант предоставляется несколькими платежами);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отказаться от договора о предоставлении гранта в случаях, предусмотренных договором о предоставлении гранта, в том числе в случае нецелевого использования гранта, а также выявления факта представления победителем конкурса в Фонд подложных документов и (или) недостоверной информации, в том числе недостоверных заверений;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993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обязательства победителя конкурса: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осуществить регистрацию юридического лица (коммерческого или некоммерческого) или зарегистрироваться в качестве индивидуального предпринимателя (при их отсутствии);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использовать грант по целевому назначению на реализацию проекта; вести раздельный учет расходов, произведенных за счет гранта,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 также обособленный учет имущества, приобретенного за счет гранта;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представлять в Фонд отчетность в порядке и в сроки, предусмотренные договором о предоставлении гранта;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представлять в Фонд 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возвратить в Фонд сумму гранта, которая не была использована победителем конкурса в течение срока реализации проекта;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возвратить в Фонд сумму гранта, которая была использована победителем конкурса не по целевому назначению (в том числе которая была признана Фондом использованной не по целевому назначению);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возвратить в Фонд сумму гранта, которая не была использована победителем конкурса за период со дня ее получения до дня отказа Фонда от договора о предоставлении гранта.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Фонд предоставляет гранты в соответствии с договорами о предоставлении грантов, заключенными с победителями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Фонд организует и проводит, в том числе с привлечением физических и юридических лиц, мониторинг проектов, на реализацию которых предоставляются гранты (включая осуществление контроля за использованием грантов), и оценку результатов таких проектов.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Контроль за использованием грантов, осуществляемый Фондом, включает в том числе: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получение (как правило, в электронной форме) и проверку отчетности, предусмотренной договорами о предоставлении грантов;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получение (как правило, в электронной форме) и анализ копий документов, подтверждающих факт получения товаров (оказания услуг, выполнения работ), оплаченных за счет гранта;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приостановление предоставления грантов в случаях непредставления (представления в неполном объеме) соответствующими победителями конкурсов в Фонд информации и (или) документов (в том числе отчетности) в порядке и в сроки, предусмотренные договорами о предоставлении гранта;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отказ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Фонд подложных документов и (или) недостоверной информации, в том числе недостоверных заверений;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истребование у победителей конкурса сумм грантов, подлежащих возврату в Фонд в соответствии с условиями договоров о предоставлении грантов.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-49" w:firstLine="993"/>
        <w:jc w:val="center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Правовая информация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Настоящее положение, объявление о проведении конкурса и другая информация о проведении конкурса, размещаемая Фондом и с его согласия, не является приглашением делать оферты.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 проведению конкурса и предоставлению грантов не применяются правила, предусмотренные статьями 447-449 Гражданского кодекса Российской Федерации.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Фонд не возмещает расходы, понесенные заявителями в связи с участием в конкурсе.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Фонд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 (членов экспертного совета).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Ответственность за информацию, размещаемую заявителем на официальном сайте конкурса, в частности направленной на нарушение деловой репутации третьих лиц и иных случаев, нарушающих требования законодательства Российской Федерации, несет непосредственно сам заявитель. Фонд не несет ответственность за размещенную заявителем информацию, при этом Фонд осуществляет контроль за размещаемой информацией, в частности за информацией, в которой содержатся нецензурные или оскорбительные выражения, призывы к осуществлению деятельности, нарушающей требования законодательства Российской Федерации.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Заявитель самостоятельно несет ответственность перед третьими лицами за свои действия, связанные с участием в конкурсе, в том числе за то, что его действия соответствуют требованиям законодательства Российской Федерации и не нарушают права и законные интересы третьих лиц. Сведения, фотографические изображения, видеоматериалы и иная информация заявителя, размещаемая на официальном сайте конкурса, не должны вступать в противоречие с требованиями законодательства Российской Федерации, нарушать права третьих лиц, авторские права на результаты интеллектуальной деятельности или средство индивидуализации и общепринятые нормы морали и нравственности. Заявитель самостоятельно и за свой счет обязуется урегулировать все претензии представителей государственных органов, учреждений, организаций независимо от организационно-правовой формы и собственности, а также третьих лиц, связанные с его действиями на официальном сайте конкурса, в процессе которой заявитель разместил информацию, сведения, материалы, фото, видеоматериалы, если такие действия заявителя повлекли нарушение требований законодательства и прав третьих лиц.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Подачей заявки на участие в конкурсе заявитель разрешает Фонду использование всей представленной в составе такой заявки информации в аналитических и научных целях, а также в целях обеспечения прозрачности и открытости проведения конкурса.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240" w:lineRule="auto"/>
        <w:ind w:left="0" w:right="-49" w:firstLine="850.3937007874017"/>
        <w:jc w:val="both"/>
        <w:rPr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Заявитель несет риск последствий неполучения юридически значимых сообщений, направленных Фондом по адресу электронной почты, указанному таким заявителем в поданной им заявке на участие в конкурсе.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4"/>
        </w:tabs>
        <w:spacing w:after="0" w:before="0" w:line="240" w:lineRule="auto"/>
        <w:ind w:left="0" w:right="-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106616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12918" y="3779365"/>
                          <a:ext cx="1066165" cy="1270"/>
                        </a:xfrm>
                        <a:custGeom>
                          <a:rect b="b" l="l" r="r" t="t"/>
                          <a:pathLst>
                            <a:path extrusionOk="0" h="1270" w="1679">
                              <a:moveTo>
                                <a:pt x="0" y="0"/>
                              </a:moveTo>
                              <a:lnTo>
                                <a:pt x="167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106616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1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40" w:w="11910" w:orient="portrait"/>
      <w:pgMar w:bottom="1133" w:top="1340" w:left="1160" w:right="116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534" w:hanging="567"/>
      </w:pPr>
      <w:rPr>
        <w:rFonts w:ascii="Times New Roman" w:cs="Times New Roman" w:eastAsia="Times New Roman" w:hAnsi="Times New Roman"/>
        <w:b w:val="0"/>
        <w:i w:val="0"/>
        <w:sz w:val="28"/>
        <w:szCs w:val="28"/>
      </w:rPr>
    </w:lvl>
    <w:lvl w:ilvl="1">
      <w:start w:val="0"/>
      <w:numFmt w:val="bullet"/>
      <w:lvlText w:val="•"/>
      <w:lvlJc w:val="left"/>
      <w:pPr>
        <w:ind w:left="2344" w:hanging="567"/>
      </w:pPr>
      <w:rPr/>
    </w:lvl>
    <w:lvl w:ilvl="2">
      <w:start w:val="0"/>
      <w:numFmt w:val="bullet"/>
      <w:lvlText w:val="•"/>
      <w:lvlJc w:val="left"/>
      <w:pPr>
        <w:ind w:left="3149" w:hanging="567"/>
      </w:pPr>
      <w:rPr/>
    </w:lvl>
    <w:lvl w:ilvl="3">
      <w:start w:val="0"/>
      <w:numFmt w:val="bullet"/>
      <w:lvlText w:val="•"/>
      <w:lvlJc w:val="left"/>
      <w:pPr>
        <w:ind w:left="3953" w:hanging="567"/>
      </w:pPr>
      <w:rPr/>
    </w:lvl>
    <w:lvl w:ilvl="4">
      <w:start w:val="0"/>
      <w:numFmt w:val="bullet"/>
      <w:lvlText w:val="•"/>
      <w:lvlJc w:val="left"/>
      <w:pPr>
        <w:ind w:left="4758" w:hanging="567"/>
      </w:pPr>
      <w:rPr/>
    </w:lvl>
    <w:lvl w:ilvl="5">
      <w:start w:val="0"/>
      <w:numFmt w:val="bullet"/>
      <w:lvlText w:val="•"/>
      <w:lvlJc w:val="left"/>
      <w:pPr>
        <w:ind w:left="5563" w:hanging="567"/>
      </w:pPr>
      <w:rPr/>
    </w:lvl>
    <w:lvl w:ilvl="6">
      <w:start w:val="0"/>
      <w:numFmt w:val="bullet"/>
      <w:lvlText w:val="•"/>
      <w:lvlJc w:val="left"/>
      <w:pPr>
        <w:ind w:left="6367" w:hanging="567"/>
      </w:pPr>
      <w:rPr/>
    </w:lvl>
    <w:lvl w:ilvl="7">
      <w:start w:val="0"/>
      <w:numFmt w:val="bullet"/>
      <w:lvlText w:val="•"/>
      <w:lvlJc w:val="left"/>
      <w:pPr>
        <w:ind w:left="7172" w:hanging="567"/>
      </w:pPr>
      <w:rPr/>
    </w:lvl>
    <w:lvl w:ilvl="8">
      <w:start w:val="0"/>
      <w:numFmt w:val="bullet"/>
      <w:lvlText w:val="•"/>
      <w:lvlJc w:val="left"/>
      <w:pPr>
        <w:ind w:left="7977" w:hanging="567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850.3937007874017"/>
      </w:pPr>
      <w:rPr>
        <w:rFonts w:ascii="Times New Roman" w:cs="Times New Roman" w:eastAsia="Times New Roman" w:hAnsi="Times New Roman"/>
        <w:b w:val="0"/>
        <w:i w:val="0"/>
        <w:sz w:val="28"/>
        <w:szCs w:val="28"/>
      </w:rPr>
    </w:lvl>
    <w:lvl w:ilvl="1">
      <w:start w:val="0"/>
      <w:numFmt w:val="bullet"/>
      <w:lvlText w:val="•"/>
      <w:lvlJc w:val="left"/>
      <w:pPr>
        <w:ind w:left="1192" w:hanging="567"/>
      </w:pPr>
      <w:rPr/>
    </w:lvl>
    <w:lvl w:ilvl="2">
      <w:start w:val="0"/>
      <w:numFmt w:val="bullet"/>
      <w:lvlText w:val="•"/>
      <w:lvlJc w:val="left"/>
      <w:pPr>
        <w:ind w:left="2125" w:hanging="567"/>
      </w:pPr>
      <w:rPr/>
    </w:lvl>
    <w:lvl w:ilvl="3">
      <w:start w:val="0"/>
      <w:numFmt w:val="bullet"/>
      <w:lvlText w:val="•"/>
      <w:lvlJc w:val="left"/>
      <w:pPr>
        <w:ind w:left="3057" w:hanging="567"/>
      </w:pPr>
      <w:rPr/>
    </w:lvl>
    <w:lvl w:ilvl="4">
      <w:start w:val="0"/>
      <w:numFmt w:val="bullet"/>
      <w:lvlText w:val="•"/>
      <w:lvlJc w:val="left"/>
      <w:pPr>
        <w:ind w:left="3990" w:hanging="567"/>
      </w:pPr>
      <w:rPr/>
    </w:lvl>
    <w:lvl w:ilvl="5">
      <w:start w:val="0"/>
      <w:numFmt w:val="bullet"/>
      <w:lvlText w:val="•"/>
      <w:lvlJc w:val="left"/>
      <w:pPr>
        <w:ind w:left="4923" w:hanging="567"/>
      </w:pPr>
      <w:rPr/>
    </w:lvl>
    <w:lvl w:ilvl="6">
      <w:start w:val="0"/>
      <w:numFmt w:val="bullet"/>
      <w:lvlText w:val="•"/>
      <w:lvlJc w:val="left"/>
      <w:pPr>
        <w:ind w:left="5855" w:hanging="567"/>
      </w:pPr>
      <w:rPr/>
    </w:lvl>
    <w:lvl w:ilvl="7">
      <w:start w:val="0"/>
      <w:numFmt w:val="bullet"/>
      <w:lvlText w:val="•"/>
      <w:lvlJc w:val="left"/>
      <w:pPr>
        <w:ind w:left="6788" w:hanging="567.0000000000009"/>
      </w:pPr>
      <w:rPr/>
    </w:lvl>
    <w:lvl w:ilvl="8">
      <w:start w:val="0"/>
      <w:numFmt w:val="bullet"/>
      <w:lvlText w:val="•"/>
      <w:lvlJc w:val="left"/>
      <w:pPr>
        <w:ind w:left="7721" w:hanging="567"/>
      </w:pPr>
      <w:rPr/>
    </w:lvl>
  </w:abstractNum>
  <w:abstractNum w:abstractNumId="3">
    <w:lvl w:ilvl="0">
      <w:start w:val="0"/>
      <w:numFmt w:val="bullet"/>
      <w:lvlText w:val="o"/>
      <w:lvlJc w:val="left"/>
      <w:pPr>
        <w:ind w:left="2339" w:hanging="210"/>
      </w:pPr>
      <w:rPr>
        <w:rFonts w:ascii="Times New Roman" w:cs="Times New Roman" w:eastAsia="Times New Roman" w:hAnsi="Times New Roman"/>
        <w:b w:val="1"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ind w:left="3896" w:hanging="426.99999999999955"/>
      </w:pPr>
      <w:rPr>
        <w:rFonts w:ascii="Times New Roman" w:cs="Times New Roman" w:eastAsia="Times New Roman" w:hAnsi="Times New Roman"/>
        <w:b w:val="0"/>
        <w:i w:val="0"/>
        <w:sz w:val="28"/>
        <w:szCs w:val="28"/>
      </w:rPr>
    </w:lvl>
    <w:lvl w:ilvl="2">
      <w:start w:val="0"/>
      <w:numFmt w:val="bullet"/>
      <w:lvlText w:val="•"/>
      <w:lvlJc w:val="left"/>
      <w:pPr>
        <w:ind w:left="4531" w:hanging="427"/>
      </w:pPr>
      <w:rPr/>
    </w:lvl>
    <w:lvl w:ilvl="3">
      <w:start w:val="0"/>
      <w:numFmt w:val="bullet"/>
      <w:lvlText w:val="•"/>
      <w:lvlJc w:val="left"/>
      <w:pPr>
        <w:ind w:left="5163" w:hanging="427"/>
      </w:pPr>
      <w:rPr/>
    </w:lvl>
    <w:lvl w:ilvl="4">
      <w:start w:val="0"/>
      <w:numFmt w:val="bullet"/>
      <w:lvlText w:val="•"/>
      <w:lvlJc w:val="left"/>
      <w:pPr>
        <w:ind w:left="5795" w:hanging="427"/>
      </w:pPr>
      <w:rPr/>
    </w:lvl>
    <w:lvl w:ilvl="5">
      <w:start w:val="0"/>
      <w:numFmt w:val="bullet"/>
      <w:lvlText w:val="•"/>
      <w:lvlJc w:val="left"/>
      <w:pPr>
        <w:ind w:left="6427" w:hanging="427"/>
      </w:pPr>
      <w:rPr/>
    </w:lvl>
    <w:lvl w:ilvl="6">
      <w:start w:val="0"/>
      <w:numFmt w:val="bullet"/>
      <w:lvlText w:val="•"/>
      <w:lvlJc w:val="left"/>
      <w:pPr>
        <w:ind w:left="7059" w:hanging="427.0000000000009"/>
      </w:pPr>
      <w:rPr/>
    </w:lvl>
    <w:lvl w:ilvl="7">
      <w:start w:val="0"/>
      <w:numFmt w:val="bullet"/>
      <w:lvlText w:val="•"/>
      <w:lvlJc w:val="left"/>
      <w:pPr>
        <w:ind w:left="7690" w:hanging="427"/>
      </w:pPr>
      <w:rPr/>
    </w:lvl>
    <w:lvl w:ilvl="8">
      <w:start w:val="0"/>
      <w:numFmt w:val="bullet"/>
      <w:lvlText w:val="•"/>
      <w:lvlJc w:val="left"/>
      <w:pPr>
        <w:ind w:left="8322" w:hanging="427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0" w:firstLine="850.393700787401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791" w:hanging="179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11" w:hanging="251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31" w:hanging="323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51" w:hanging="395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671" w:hanging="467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391" w:hanging="539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11" w:hanging="611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31" w:hanging="683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258" w:hanging="567"/>
      </w:pPr>
      <w:rPr>
        <w:rFonts w:ascii="Times New Roman" w:cs="Times New Roman" w:eastAsia="Times New Roman" w:hAnsi="Times New Roman"/>
        <w:b w:val="0"/>
        <w:i w:val="0"/>
        <w:sz w:val="28"/>
        <w:szCs w:val="28"/>
      </w:rPr>
    </w:lvl>
    <w:lvl w:ilvl="1">
      <w:start w:val="0"/>
      <w:numFmt w:val="bullet"/>
      <w:lvlText w:val="•"/>
      <w:lvlJc w:val="left"/>
      <w:pPr>
        <w:ind w:left="1192" w:hanging="567"/>
      </w:pPr>
      <w:rPr/>
    </w:lvl>
    <w:lvl w:ilvl="2">
      <w:start w:val="0"/>
      <w:numFmt w:val="bullet"/>
      <w:lvlText w:val="•"/>
      <w:lvlJc w:val="left"/>
      <w:pPr>
        <w:ind w:left="2125" w:hanging="567"/>
      </w:pPr>
      <w:rPr/>
    </w:lvl>
    <w:lvl w:ilvl="3">
      <w:start w:val="0"/>
      <w:numFmt w:val="bullet"/>
      <w:lvlText w:val="•"/>
      <w:lvlJc w:val="left"/>
      <w:pPr>
        <w:ind w:left="3057" w:hanging="567"/>
      </w:pPr>
      <w:rPr/>
    </w:lvl>
    <w:lvl w:ilvl="4">
      <w:start w:val="0"/>
      <w:numFmt w:val="bullet"/>
      <w:lvlText w:val="•"/>
      <w:lvlJc w:val="left"/>
      <w:pPr>
        <w:ind w:left="3990" w:hanging="567"/>
      </w:pPr>
      <w:rPr/>
    </w:lvl>
    <w:lvl w:ilvl="5">
      <w:start w:val="0"/>
      <w:numFmt w:val="bullet"/>
      <w:lvlText w:val="•"/>
      <w:lvlJc w:val="left"/>
      <w:pPr>
        <w:ind w:left="4923" w:hanging="567"/>
      </w:pPr>
      <w:rPr/>
    </w:lvl>
    <w:lvl w:ilvl="6">
      <w:start w:val="0"/>
      <w:numFmt w:val="bullet"/>
      <w:lvlText w:val="•"/>
      <w:lvlJc w:val="left"/>
      <w:pPr>
        <w:ind w:left="5855" w:hanging="567"/>
      </w:pPr>
      <w:rPr/>
    </w:lvl>
    <w:lvl w:ilvl="7">
      <w:start w:val="0"/>
      <w:numFmt w:val="bullet"/>
      <w:lvlText w:val="•"/>
      <w:lvlJc w:val="left"/>
      <w:pPr>
        <w:ind w:left="6788" w:hanging="567.0000000000009"/>
      </w:pPr>
      <w:rPr/>
    </w:lvl>
    <w:lvl w:ilvl="8">
      <w:start w:val="0"/>
      <w:numFmt w:val="bullet"/>
      <w:lvlText w:val="•"/>
      <w:lvlJc w:val="left"/>
      <w:pPr>
        <w:ind w:left="7721" w:hanging="567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258" w:hanging="567"/>
      </w:pPr>
      <w:rPr>
        <w:rFonts w:ascii="Times New Roman" w:cs="Times New Roman" w:eastAsia="Times New Roman" w:hAnsi="Times New Roman"/>
        <w:b w:val="0"/>
        <w:i w:val="0"/>
        <w:sz w:val="28"/>
        <w:szCs w:val="28"/>
      </w:rPr>
    </w:lvl>
    <w:lvl w:ilvl="1">
      <w:start w:val="0"/>
      <w:numFmt w:val="bullet"/>
      <w:lvlText w:val="•"/>
      <w:lvlJc w:val="left"/>
      <w:pPr>
        <w:ind w:left="1192" w:hanging="567"/>
      </w:pPr>
      <w:rPr/>
    </w:lvl>
    <w:lvl w:ilvl="2">
      <w:start w:val="0"/>
      <w:numFmt w:val="bullet"/>
      <w:lvlText w:val="•"/>
      <w:lvlJc w:val="left"/>
      <w:pPr>
        <w:ind w:left="2125" w:hanging="567"/>
      </w:pPr>
      <w:rPr/>
    </w:lvl>
    <w:lvl w:ilvl="3">
      <w:start w:val="0"/>
      <w:numFmt w:val="bullet"/>
      <w:lvlText w:val="•"/>
      <w:lvlJc w:val="left"/>
      <w:pPr>
        <w:ind w:left="3057" w:hanging="567"/>
      </w:pPr>
      <w:rPr/>
    </w:lvl>
    <w:lvl w:ilvl="4">
      <w:start w:val="0"/>
      <w:numFmt w:val="bullet"/>
      <w:lvlText w:val="•"/>
      <w:lvlJc w:val="left"/>
      <w:pPr>
        <w:ind w:left="3990" w:hanging="567"/>
      </w:pPr>
      <w:rPr/>
    </w:lvl>
    <w:lvl w:ilvl="5">
      <w:start w:val="0"/>
      <w:numFmt w:val="bullet"/>
      <w:lvlText w:val="•"/>
      <w:lvlJc w:val="left"/>
      <w:pPr>
        <w:ind w:left="4923" w:hanging="567"/>
      </w:pPr>
      <w:rPr/>
    </w:lvl>
    <w:lvl w:ilvl="6">
      <w:start w:val="0"/>
      <w:numFmt w:val="bullet"/>
      <w:lvlText w:val="•"/>
      <w:lvlJc w:val="left"/>
      <w:pPr>
        <w:ind w:left="5855" w:hanging="567"/>
      </w:pPr>
      <w:rPr/>
    </w:lvl>
    <w:lvl w:ilvl="7">
      <w:start w:val="0"/>
      <w:numFmt w:val="bullet"/>
      <w:lvlText w:val="•"/>
      <w:lvlJc w:val="left"/>
      <w:pPr>
        <w:ind w:left="6788" w:hanging="567.0000000000009"/>
      </w:pPr>
      <w:rPr/>
    </w:lvl>
    <w:lvl w:ilvl="8">
      <w:start w:val="0"/>
      <w:numFmt w:val="bullet"/>
      <w:lvlText w:val="•"/>
      <w:lvlJc w:val="left"/>
      <w:pPr>
        <w:ind w:left="7721" w:hanging="567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lkanko.ru" TargetMode="External"/><Relationship Id="rId10" Type="http://schemas.openxmlformats.org/officeDocument/2006/relationships/hyperlink" Target="https://www.fedsfm.ru/documents/terr-list" TargetMode="External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ssp.gov.ru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