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ритерии оценки участников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Лучш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негосударственный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поставщик услуг в социальной сфере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Ханты-Мансийского автономного округа – Югры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Значение показателя по результат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ам проведения независимой оценки качества условий оказания услуг организациями (индивидуальными предпринимателями) в сфере культуры, охраны здоровья, образования, социального обслуживания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в 2023-2025 годах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, баллов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 (</w:t>
      </w:r>
      <w:r>
        <w:rPr>
          <w:rFonts w:ascii="Times New Roman" w:hAnsi="Times New Roman" w:eastAsia="TimesNewRoman" w:cs="Times New Roman"/>
          <w:b w:val="0"/>
          <w:i/>
          <w:iCs/>
          <w:strike w:val="0"/>
          <w:sz w:val="28"/>
          <w:szCs w:val="28"/>
          <w:lang w:val="ru-RU"/>
        </w:rPr>
        <w:t xml:space="preserve">кроме организаций и индивидуальных предпринимателей, осуществляющих деятельность в сфере физической культуры и спорта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).</w:t>
      </w:r>
      <w:r>
        <w:rPr>
          <w:rFonts w:ascii="Times New Roman" w:hAnsi="Times New Roman" w:eastAsia="TimesNew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Доля работников организации (индивидуального предпринимателя), прошедших повышение квалификации (профессиональную переподготовку) в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2025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году, процентов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Динамика объема оказанных услуг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2023-2025 годах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 (в количестве фактов оказания услуг, количестве проведенных мероприятий), единиц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Наличие в информационно-телекоммуникационной сети Интернет действующего официального сайта (страницы в социальных сетях) организации (индивидуального предпринимателя), единиц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Освещение деятельности организации (индивидуального предпринимателя) в средствах массовой информации за период с 1 января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2025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года по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3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 августа 2026 года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, количество публикаций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  <w:lang w:val="ru-RU"/>
        </w:rPr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Участие организации (индивидуального предпринимателя) в добровольческой (волонте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рской) и (или) благотворительной деятельности в автономном округе, количество привлеченных добровольцев, наличие добровольческой (волонтерской) программы, участие в добровольческой (волонтерской) деятельности за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2025 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</w:rPr>
        <w:t xml:space="preserve">год</w:t>
      </w:r>
      <w:r>
        <w:rPr>
          <w:rFonts w:ascii="Times New Roman" w:hAnsi="Times New Roman" w:eastAsia="TimesNewRoman" w:cs="Times New Roman"/>
          <w:b w:val="0"/>
          <w:i w:val="0"/>
          <w:strike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ind w:left="709" w:right="0" w:firstLine="0"/>
        <w:jc w:val="center"/>
        <w:spacing w:before="0" w:after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ind w:left="0" w:right="0" w:firstLine="709"/>
        <w:jc w:val="both"/>
        <w:spacing w:before="0" w:after="0"/>
        <w:rPr>
          <w:rFonts w:ascii="Times New Roman" w:hAnsi="Times New Roman" w:eastAsia="TimesNewRoman" w:cs="Times New Roman"/>
          <w:b/>
          <w:bCs/>
          <w:i w:val="0"/>
          <w:strike w:val="0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Срок оценки заявок членами комиссии по проведению Конкурса </w:t>
        <w:br/>
        <w:t xml:space="preserve">с 15 сентября 2026 года до 30 сентября 2026 года.</w:t>
      </w:r>
      <w:r>
        <w:rPr>
          <w:rFonts w:ascii="Times New Roman" w:hAnsi="Times New Roman" w:eastAsia="TimesNewRoman" w:cs="Times New Roman"/>
          <w:b/>
          <w:bCs/>
          <w:i w:val="0"/>
          <w:strike w:val="0"/>
        </w:rPr>
      </w:r>
      <w:r>
        <w:rPr>
          <w:rFonts w:ascii="Times New Roman" w:hAnsi="Times New Roman" w:eastAsia="TimesNewRoman" w:cs="Times New Roman"/>
          <w:b/>
          <w:bCs/>
          <w:i w:val="0"/>
          <w:strike w:val="0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FinogenovaYM</cp:lastModifiedBy>
  <cp:revision>4</cp:revision>
  <dcterms:modified xsi:type="dcterms:W3CDTF">2026-06-24T13:15:22Z</dcterms:modified>
</cp:coreProperties>
</file>