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9A131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36"/>
          <w:lang w:eastAsia="ru-RU"/>
          <w14:ligatures w14:val="none"/>
        </w:rPr>
        <w:t>ИНФОРМАЦИОННАЯ СПРАВКА</w:t>
      </w:r>
    </w:p>
    <w:p w14:paraId="7D59C245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 деятельности Региональной благотворительной общественной организации социальной адаптации граждан «Фавор» Ханты-Мансийского автономного округа — Югры</w:t>
      </w:r>
    </w:p>
    <w:p w14:paraId="777EB95D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участия в конкурсе «Лучший негосударственный поставщик услуг в социальной сфере Ханты-Мансийского автономного округа — Югры» в 2026 году</w:t>
      </w:r>
    </w:p>
    <w:p w14:paraId="539A1EFE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Номинация: «Лучший негосударственный поставщик услуг в сфере социального обслуживания»</w:t>
      </w:r>
    </w:p>
    <w:p w14:paraId="5AA3DA00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 Общая характеристика</w:t>
      </w:r>
    </w:p>
    <w:p w14:paraId="5AEF2922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РБООСАГ «Фавор» — негосударственная некоммерческая организация, сформировавшая в Югре многопрофильную систему социальной адаптации, реабилитации, семейного сопровождения, трудового восстановления и профилактики повторного социального неблагополучия.</w:t>
      </w:r>
    </w:p>
    <w:p w14:paraId="2409F637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зарегистрирована 26 апреля 2015 года. Практический опыт команды в сфере помощи людям в кризисной ситуации формировался значительно раньше и включает работу с бездомностью, химической зависимостью, кризисными семьями, женщинами с детьми, подростками группы риска, гражданами после освобождения из мест лишения свободы, людьми, утратившими социальные связи, и другими категориями граждан, которым требуется длительное сопровождение.</w:t>
      </w:r>
    </w:p>
    <w:p w14:paraId="2D374EEF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География деятельности включает Ханты-Мансийск, Ханты-Мансийский район, Нягань, Октябрьский район и реализацию социально значимых инициатив окружного уровня.</w:t>
      </w:r>
    </w:p>
    <w:p w14:paraId="3DDBEE15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Главное отличие «Фавора» — не отдельная услуга и не временное размещение человека, а непрерывный маршрут восстановления:</w:t>
      </w:r>
    </w:p>
    <w:p w14:paraId="39496B81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кризис → безопасность → проживание и базовая стабилизация → восстановление здоровья и документов → работа с зависимостью и психологическим состоянием → восстановление семейных связей → обучение → трудовые навыки и профессия → занятость → самостоятельная жизнь → </w:t>
      </w:r>
      <w:proofErr w:type="spellStart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постреабилитационное</w:t>
      </w:r>
      <w:proofErr w:type="spellEnd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сопровождение → добровольчество и наставничество.</w:t>
      </w:r>
    </w:p>
    <w:p w14:paraId="50ADFF77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стремится к результату, при котором человек перестаёт быть постоянным получателем помощи и возвращается к максимально возможной самостоятельности.</w:t>
      </w:r>
    </w:p>
    <w:p w14:paraId="3E2E5CA3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 Ключевые результаты</w:t>
      </w:r>
    </w:p>
    <w:p w14:paraId="13A49BFB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2025 году комплексную помощь, включая временное проживание, социальное сопровождение и базовую реабилитацию, получили 295 человек.</w:t>
      </w:r>
    </w:p>
    <w:p w14:paraId="2D009997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40 человек завершили полный цикл социальной адаптации и перешли к самостоятельной жизни.</w:t>
      </w:r>
    </w:p>
    <w:p w14:paraId="0B11128C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 данным годовой отчётности организации, в течение 2025 года отражено 159 544 факта оказания социальных услуг, включавших социально-бытовую, психологическую, консультативную, образовательную, правовую и сопровождающую помощь.</w:t>
      </w:r>
    </w:p>
    <w:p w14:paraId="29012C6C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88 человек прошли бесплатные программы компьютерной и финансовой грамотности.</w:t>
      </w:r>
    </w:p>
    <w:p w14:paraId="2D12017A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50 человек приняли участие в программе «Школа трезвости».</w:t>
      </w:r>
    </w:p>
    <w:p w14:paraId="26CF81C9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45 человек прошли программу «Школа семейных отношений».</w:t>
      </w:r>
    </w:p>
    <w:p w14:paraId="01B2B50B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11 семей получили помощь с применением семейной медиации и восстановительных практик.</w:t>
      </w:r>
    </w:p>
    <w:p w14:paraId="3FD8233D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рамках Школы приёмных родителей в 2025 году работа проведена с 13 семьями, 7 из которых стали приёмными семьями. Среди сопровождаемых семей — 0 случаев вторичного сиротства.</w:t>
      </w:r>
    </w:p>
    <w:p w14:paraId="61CCB680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семейных кризисных направлениях совместную помощь получили матери и дети, находившиеся в ситуации зависимости, семейного неблагополучия, насилия или угрозы разлучения семьи.</w:t>
      </w:r>
    </w:p>
    <w:p w14:paraId="05822718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рамках проекта «Корзина добра» передано 220 продуктовых наборов нуждающимся семьям и гражданам.</w:t>
      </w:r>
    </w:p>
    <w:p w14:paraId="6D2267FB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 Комплексный семейный подход: не спасать одного человека, а восстанавливать всю семью</w:t>
      </w:r>
    </w:p>
    <w:p w14:paraId="5BFC0516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Одной из наиболее сильных сторон модели «Фавора» является </w:t>
      </w:r>
      <w:proofErr w:type="spellStart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семейно</w:t>
      </w:r>
      <w:proofErr w:type="spellEnd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ориентированная реабилитация.</w:t>
      </w:r>
    </w:p>
    <w:p w14:paraId="6E5C1566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Зависимость, бездомность, насилие, утрата жилья или социального статуса практически никогда не являются проблемой только одного человека. Кризис взрослого напрямую влияет на ребёнка, супруга, родителей и всю семейную систему.</w:t>
      </w:r>
    </w:p>
    <w:p w14:paraId="5DADE649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Поэтому «Фавор» работает одновременно с человеком и его ближайшим окружением.</w:t>
      </w:r>
    </w:p>
    <w:p w14:paraId="73685E80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реабилитацию проходит мать — организация стремится сохранить её отношения с ребёнком.</w:t>
      </w:r>
    </w:p>
    <w:p w14:paraId="05FE487E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восстанавливается человек с зависимостью — помощь получают также созависимые родственники.</w:t>
      </w:r>
    </w:p>
    <w:p w14:paraId="072FC425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в семье конфликт — подключаются семейное консультирование и медиация.</w:t>
      </w:r>
    </w:p>
    <w:p w14:paraId="4E848606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существуют риски социального сиротства — работа строится вокруг сохранения ребёнка в родной семье.</w:t>
      </w:r>
    </w:p>
    <w:p w14:paraId="4D167210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Если ребёнок или подросток также нуждается в сопровождении — семейная траектория продолжается через специализированные детские и подростковые программы партнёрской экосистемы.</w:t>
      </w:r>
    </w:p>
    <w:p w14:paraId="7122C081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Именно такая модель позволяет добиваться более устойчивого результата, поскольку после окончания реабилитации человек возвращается не в прежнюю разрушительную среду, а в семейную систему, которая тоже получила помощь и новые навыки.</w:t>
      </w:r>
    </w:p>
    <w:p w14:paraId="5D3FF5E5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 «Мать и дитя»: профилактика социального сиротства</w:t>
      </w:r>
    </w:p>
    <w:p w14:paraId="79C934B8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Программа «Мать и дитя» является не просто формой совместного проживания женщины и ребёнка.</w:t>
      </w:r>
    </w:p>
    <w:p w14:paraId="36F87194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Это </w:t>
      </w:r>
      <w:proofErr w:type="spellStart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семьесберегающая</w:t>
      </w:r>
      <w:proofErr w:type="spellEnd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технология профилактики социального сиротства.</w:t>
      </w:r>
    </w:p>
    <w:p w14:paraId="742A0278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Программа предназначена в том числе для женщин, столкнувшихся с зависимостью, психологическим кризисом, насилием, угрозой утраты жилья, конфликтом с родственниками или риском ограничения либо утраты родительских прав.</w:t>
      </w:r>
    </w:p>
    <w:p w14:paraId="0AADAF48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Принцип программы: реабилитация матери не должна автоматически означать разлучение с ребёнком.</w:t>
      </w:r>
    </w:p>
    <w:p w14:paraId="442A1008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Вместо изоляции женщины от семьи создаются условия, в которых она одновременно проходит восстановление, учится материнским навыкам, меняет модели взаимодействия с ребёнком и получает помощь специалистов.</w:t>
      </w:r>
    </w:p>
    <w:p w14:paraId="1CB5E98F" w14:textId="7D05B365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работе используется методическая база семейно</w:t>
      </w: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</w:t>
      </w: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ориентированных программ АНО </w:t>
      </w:r>
      <w:proofErr w:type="gramStart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«Азбука семьи»</w:t>
      </w:r>
      <w:proofErr w:type="gramEnd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разработанных специально по запросу РБООСАГ «Фавор»</w:t>
      </w: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направленных на укрепление детско-родительских отношений, ответственное родительство, ненасильственные методы воспитания, повышение устойчивости семьи и профилактику социального сиротства.</w:t>
      </w:r>
    </w:p>
    <w:p w14:paraId="09CDE6F3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Таким образом, результатом программы является не только трезвость или временная стабилизация женщины, а сохранённая семья и снижение риска попадания ребёнка в систему государственного устройства.</w:t>
      </w:r>
    </w:p>
    <w:p w14:paraId="3B219D25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 Работа с детьми и подростками: семейный маршрут продолжается</w:t>
      </w:r>
    </w:p>
    <w:p w14:paraId="13965602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«Фавор» одним из первых начал рассматривать помощь взрослому человеку в кризисе вместе с необходимостью профилактической работы с его детьми.</w:t>
      </w:r>
    </w:p>
    <w:p w14:paraId="096E3BBC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имеет опыт социально-реабилитационного и наставнического сопровождения подростков, в том числе начиная с возраста 15 лет, при наличии семейного неблагополучия, рисков аддиктивного или деструктивного поведения, проблем социализации и профессионального самоопределения.</w:t>
      </w:r>
    </w:p>
    <w:p w14:paraId="64F646D4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Исторически подростковое направление развивалось внутри «Фавора» через «Досуговую программу “Рубикон”».</w:t>
      </w:r>
    </w:p>
    <w:p w14:paraId="5708214F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2023–2024 годах программа реализовывалась РБООСАГ «Фавор» и получила грантовую поддержку Губернатора Югры.</w:t>
      </w:r>
    </w:p>
    <w:p w14:paraId="6DF2BBEC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 2025 года «Рубикон» развивается как самостоятельное юридическое лицо.</w:t>
      </w:r>
    </w:p>
    <w:p w14:paraId="14203FFA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конкурсной оценки принципиально важно разделять юридический статус организаций, однако социальная технология и накопленный «Фавором» опыт не исчезли.</w:t>
      </w:r>
    </w:p>
    <w:p w14:paraId="34431B3C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Сегодня самостоятельный «Рубикон» позволяет продолжать семейную траекторию помощи детям и подросткам: психологическое сопровождение, профилактика зависимостей, профориентация, волонтёрство, трудовая занятость, социальные навыки и наставничество.</w:t>
      </w:r>
    </w:p>
    <w:p w14:paraId="0D78963B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В результате формируется единая логика:</w:t>
      </w:r>
    </w:p>
    <w:p w14:paraId="66280935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взрослый получает восстановление в «Фаворе» → семейные отношения восстанавливаются → ребёнок или подросток при необходимости включается в специализированное сопровождение → семья получает возможность изменяться одновременно.</w:t>
      </w:r>
    </w:p>
    <w:p w14:paraId="28F623CD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Особую роль играет наставничество. Подросток рассматривается не только как получатель профилактической помощи, но как будущий самостоятельный взрослый, способный перейти от участия в программе к волонтёрству, трудовой деятельности и наставничеству для других.</w:t>
      </w:r>
    </w:p>
    <w:p w14:paraId="05C83862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 Реабилитация зависимости: от трезвости к самостоятельности</w:t>
      </w:r>
    </w:p>
    <w:p w14:paraId="6D27B0F6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 с зависимостью в «Фаворе» не ограничивается прекращением употребления психоактивных веществ.</w:t>
      </w:r>
    </w:p>
    <w:p w14:paraId="26BCB166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Задача — восстановить способность человека жить трезво, работать, поддерживать отношения, распоряжаться деньгами, нести ответственность и самостоятельно решать жизненные задачи.</w:t>
      </w:r>
    </w:p>
    <w:p w14:paraId="2FEE5C6A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этого объединяются:</w:t>
      </w:r>
    </w:p>
    <w:p w14:paraId="665C177C" w14:textId="77777777" w:rsidR="00897FB2" w:rsidRPr="00897FB2" w:rsidRDefault="00897FB2" w:rsidP="00897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«Школа трезвости»;</w:t>
      </w:r>
    </w:p>
    <w:p w14:paraId="75FDED19" w14:textId="77777777" w:rsidR="00897FB2" w:rsidRPr="00897FB2" w:rsidRDefault="00897FB2" w:rsidP="00897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индивидуальное психологическое сопровождение;</w:t>
      </w:r>
    </w:p>
    <w:p w14:paraId="297DDE5B" w14:textId="77777777" w:rsidR="00897FB2" w:rsidRPr="00897FB2" w:rsidRDefault="00897FB2" w:rsidP="00897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консультирование зависимых;</w:t>
      </w:r>
    </w:p>
    <w:p w14:paraId="5CC80FB7" w14:textId="77777777" w:rsidR="00897FB2" w:rsidRPr="00897FB2" w:rsidRDefault="00897FB2" w:rsidP="00897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консультирование созависимых родственников;</w:t>
      </w:r>
    </w:p>
    <w:p w14:paraId="020FC457" w14:textId="77777777" w:rsidR="00897FB2" w:rsidRPr="00897FB2" w:rsidRDefault="00897FB2" w:rsidP="00897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семейная терапия;</w:t>
      </w:r>
    </w:p>
    <w:p w14:paraId="31EBDD74" w14:textId="77777777" w:rsidR="00897FB2" w:rsidRPr="00897FB2" w:rsidRDefault="00897FB2" w:rsidP="00897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профилактика срыва;</w:t>
      </w:r>
    </w:p>
    <w:p w14:paraId="409B6630" w14:textId="77777777" w:rsidR="00897FB2" w:rsidRPr="00897FB2" w:rsidRDefault="00897FB2" w:rsidP="00897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физическая активность;</w:t>
      </w:r>
    </w:p>
    <w:p w14:paraId="24AC0F03" w14:textId="77777777" w:rsidR="00897FB2" w:rsidRPr="00897FB2" w:rsidRDefault="00897FB2" w:rsidP="00897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трудовая реабилитация;</w:t>
      </w:r>
    </w:p>
    <w:p w14:paraId="77C8BC2E" w14:textId="77777777" w:rsidR="00897FB2" w:rsidRPr="00897FB2" w:rsidRDefault="00897FB2" w:rsidP="00897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обучение;</w:t>
      </w:r>
    </w:p>
    <w:p w14:paraId="6AE82599" w14:textId="77777777" w:rsidR="00897FB2" w:rsidRPr="00897FB2" w:rsidRDefault="00897FB2" w:rsidP="00897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наставничество;</w:t>
      </w:r>
    </w:p>
    <w:p w14:paraId="66F74635" w14:textId="77777777" w:rsidR="00897FB2" w:rsidRPr="00897FB2" w:rsidRDefault="00897FB2" w:rsidP="00897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сопровождаемый выход;</w:t>
      </w:r>
    </w:p>
    <w:p w14:paraId="374D4130" w14:textId="77777777" w:rsidR="00897FB2" w:rsidRPr="00897FB2" w:rsidRDefault="00897FB2" w:rsidP="00897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постреабилитационная</w:t>
      </w:r>
      <w:proofErr w:type="spellEnd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поддержка.</w:t>
      </w:r>
    </w:p>
    <w:p w14:paraId="29CA916D" w14:textId="0C19E59C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2025 году «Школу трезвости» прошли </w:t>
      </w: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44</w:t>
      </w: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человек</w:t>
      </w: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</w:t>
      </w: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B39C4E8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Особое значение имеет возможность перейти от позиции пациента или благополучателя к позиции человека, который снова учится быть членом семьи, работником, гражданином и наставником.</w:t>
      </w:r>
    </w:p>
    <w:p w14:paraId="5243EEF8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 Демидовка: профессия становится частью реабилитации</w:t>
      </w:r>
    </w:p>
    <w:p w14:paraId="13336F25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Отдельное конкурентное преимущество «Фавора» — организация трудовой и профессиональной реабилитации непосредственно в процессе восстановления.</w:t>
      </w:r>
    </w:p>
    <w:p w14:paraId="373BAA1F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Демидовке создана среда, где человек не ждёт окончания программы, чтобы затем впервые искать работу.</w:t>
      </w:r>
    </w:p>
    <w:p w14:paraId="06FA2C46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Профессиональное развитие начинается ещё во время реабилитации.</w:t>
      </w:r>
    </w:p>
    <w:p w14:paraId="46813812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Подопечный привыкает к трудовому режиму, восстанавливает ответственность, осваивает практические навыки, проходит обучение и стажировку, получает положительный опыт труда в безопасной среде.</w:t>
      </w:r>
    </w:p>
    <w:p w14:paraId="6650DEAE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инфраструктуре предусмотрены производственные и учебно-трудовые площадки, в том числе столярное направление, хозяйственные работы, фермерское направление и другие формы трудовой занятости.</w:t>
      </w:r>
    </w:p>
    <w:p w14:paraId="477BB8BD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Столярная мастерская используется не в качестве досуга, а как площадка транзитного трудоустройства: обучение → стажировка → временная занятость → выход на открытый рынок труда.</w:t>
      </w:r>
    </w:p>
    <w:p w14:paraId="706B0A57" w14:textId="588A5329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 данным организации, дополнительно развивается швейное профессиональное направление; </w:t>
      </w: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</w:t>
      </w: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 человек прошли обучение по квалификации швейного профиля («швея-мотористка»).</w:t>
      </w:r>
    </w:p>
    <w:p w14:paraId="5578AA15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Таким образом, человек одновременно проходит психологическое и социальное восстановление и приобретает трудовой капитал.</w:t>
      </w:r>
    </w:p>
    <w:p w14:paraId="1121D8D9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принципиально меняет саму философию реабилитации:</w:t>
      </w:r>
    </w:p>
    <w:p w14:paraId="5A88C1EA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человек не «выписывается в неизвестность», а выходит из программы с навыками, опытом труда и большей готовностью обеспечивать себя самостоятельно.</w:t>
      </w:r>
    </w:p>
    <w:p w14:paraId="4B8419FB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8. Школа семейных отношений</w:t>
      </w:r>
    </w:p>
    <w:p w14:paraId="25E58235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Школа семейных отношений — профилактическая программа, направленная на предупреждение разводов, семейного насилия, эмоционального отчуждения и разрушения детско-родительских связей.</w:t>
      </w:r>
    </w:p>
    <w:p w14:paraId="70C104CA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Программа включает семейную психологию, навыки ненасильственного общения, управление конфликтом, ответственное родительство, способность слышать партнёра и ребёнка, сохранение родительского взаимодействия при разводе.</w:t>
      </w:r>
    </w:p>
    <w:p w14:paraId="37E1BBE9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2025 году обучение прошли 45 человек.</w:t>
      </w:r>
    </w:p>
    <w:p w14:paraId="69F29D27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 Семейная медиация и восстановительные практики</w:t>
      </w:r>
    </w:p>
    <w:p w14:paraId="1B83D443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Медиация применяется при конфликтах супругов, родителей и детей, родственников, в ситуациях раздельного проживания и кризиса родительских отношений.</w:t>
      </w:r>
    </w:p>
    <w:p w14:paraId="2B72C1D1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отличие от обычной консультации медиация направлена на восстановление способности сторон самостоятельно договариваться и принимать совместные решения.</w:t>
      </w:r>
    </w:p>
    <w:p w14:paraId="6C824098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2025 году помощь получили 11 семей.</w:t>
      </w:r>
    </w:p>
    <w:p w14:paraId="5BF506F8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10. Школа приёмных родителей</w:t>
      </w:r>
    </w:p>
    <w:p w14:paraId="62194CC1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«Фавор» имеет опыт подготовки и сопровождения кандидатов в замещающие родители.</w:t>
      </w:r>
    </w:p>
    <w:p w14:paraId="7FA28132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 не заканчивается получением свидетельства: важной частью модели является последующее сопровождение семьи.</w:t>
      </w:r>
    </w:p>
    <w:p w14:paraId="18434963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В 2025 году программа охватила 13 семей, 7 семей стали приёмными, случаев вторичного сиротства среди сопровождаемых семей — 0.</w:t>
      </w:r>
    </w:p>
    <w:p w14:paraId="686315EE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Этот показатель особенно важен: результат оценивается не количеством обученных кандидатов, а сохранением ребёнка в семье.</w:t>
      </w:r>
    </w:p>
    <w:p w14:paraId="3C4D49CA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11. Опыт постпенитенциарной пробации</w:t>
      </w:r>
    </w:p>
    <w:p w14:paraId="7C14ADA9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предыдущие годы «Фавор» являлся участником системы постпенитенциарной пробации и накопил практический опыт сопровождения людей после освобождения из мест лишения свободы.</w:t>
      </w:r>
    </w:p>
    <w:p w14:paraId="40572016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рамках направления применялись:</w:t>
      </w:r>
    </w:p>
    <w:p w14:paraId="6976B0D9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временное проживание → восстановление документов → психологическая помощь → формирование бытовых навыков → трудовая адаптация → обучение → наставничество → сопровождаемое трудоустройство → самостоятельная жизнь.</w:t>
      </w:r>
    </w:p>
    <w:p w14:paraId="096B7244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2026 году организация приняла решение перераспределить организационные, кадровые и финансовые ресурсы на другие уставные направления и завершила деятельность Центра постпенитенциарной пробации.</w:t>
      </w:r>
    </w:p>
    <w:p w14:paraId="7A0B50B9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 данным организации, фактический выход из соответствующего реестра завершён в августе 2026 года, непосредственно перед конкурсом.</w:t>
      </w:r>
    </w:p>
    <w:p w14:paraId="1F24C7FD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означает, что «Фавор» не заявляет себя в настоящее время действующим центром постпенитенциарной пробации, однако весь накопленный до момента выхода опыт является частью профессиональной истории организации и подтверждает способность команды работать с одной из наиболее сложных категорий благополучателей.</w:t>
      </w:r>
    </w:p>
    <w:p w14:paraId="6118F546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Полученные компетенции продолжают использоваться в социальной адаптации, трудовом сопровождении, работе с зависимостью и наставничестве.</w:t>
      </w:r>
    </w:p>
    <w:p w14:paraId="15865965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12. Материально-техническая и ресурсная база</w:t>
      </w:r>
    </w:p>
    <w:p w14:paraId="5E203ECC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Сильнейшим конкурентным преимуществом «Фавора» является развитая собственная и используемая социальная инфраструктура.</w:t>
      </w:r>
    </w:p>
    <w:p w14:paraId="1616006A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 данным организации, совокупная площадь объектов, задействованных в деятельности социальной системы «Фавора» на нескольких территориях, составляет более 3 000 м².</w:t>
      </w:r>
    </w:p>
    <w:p w14:paraId="651A8FFD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Ресурсная база включает жилые и реабилитационные помещения, кризисные пространства для женщин и детей, помещения для групповой работы, кухни и столовые, компьютерные классы и трудовые площадки.</w:t>
      </w:r>
    </w:p>
    <w:p w14:paraId="4712C091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Отдельно развиты:</w:t>
      </w:r>
    </w:p>
    <w:p w14:paraId="3572447B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полноценный спортивный зал для физического восстановления и формирования здорового образа жизни;</w:t>
      </w:r>
    </w:p>
    <w:p w14:paraId="7BB9F94C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собственная хлебопекарня, позволяющая совмещать хозяйственную деятельность, трудовые навыки и обеспечение потребностей центра;</w:t>
      </w:r>
    </w:p>
    <w:p w14:paraId="289DD7EA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столярная мастерская, используемая как площадка обучения, стажировки и транзитного трудоустройства;</w:t>
      </w:r>
    </w:p>
    <w:p w14:paraId="4A70F6DC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швейное направление и оборудование, позволяющие формировать доступные профессиональные компетенции;</w:t>
      </w:r>
    </w:p>
    <w:p w14:paraId="6ABB415E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подсобное и фермерское хозяйство, включая теплицы и птицеводческое направление;</w:t>
      </w:r>
    </w:p>
    <w:p w14:paraId="2CC79F1F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компьютерные классы для цифровой и финансовой грамотности;</w:t>
      </w:r>
    </w:p>
    <w:p w14:paraId="0130384A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помещения для психологических групп, семейных занятий и образовательных программ;</w:t>
      </w:r>
    </w:p>
    <w:p w14:paraId="31EC220F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оборудованные жилые комнаты;</w:t>
      </w:r>
    </w:p>
    <w:p w14:paraId="4AE3759D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прачечные, кухни-столовые и хозяйственные помещения.</w:t>
      </w:r>
    </w:p>
    <w:p w14:paraId="1323D70D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означает, что «Фавор» располагает не только командой специалистов, но и физической средой, необходимой для длительной социальной адаптации человека.</w:t>
      </w:r>
    </w:p>
    <w:p w14:paraId="60FDC2C5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13. Волонтёрская система</w:t>
      </w:r>
    </w:p>
    <w:p w14:paraId="0225F07D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Волонтёрство в «Фаворе» является самостоятельной социальной технологией.</w:t>
      </w:r>
    </w:p>
    <w:p w14:paraId="048794A0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Действует нормативно оформленная программа внешнего добровольчества, координаторы, регистрация добровольцев, работа через </w:t>
      </w:r>
      <w:proofErr w:type="spellStart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Добро.ру</w:t>
      </w:r>
      <w:proofErr w:type="spellEnd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обучение и нематериальная мотивация участников.</w:t>
      </w:r>
    </w:p>
    <w:p w14:paraId="605D6DDB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 платформе </w:t>
      </w:r>
      <w:proofErr w:type="spellStart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Добро.ру</w:t>
      </w:r>
      <w:proofErr w:type="spellEnd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зарегистрировано 89 волонтёров.</w:t>
      </w:r>
    </w:p>
    <w:p w14:paraId="7B4C5014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постоянном организационном волонтёрском сообществе — 114 добровольцев.</w:t>
      </w:r>
    </w:p>
    <w:p w14:paraId="39A90C8C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 отчётный год организовано 329 волонтёрских дел.</w:t>
      </w:r>
    </w:p>
    <w:p w14:paraId="25532550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Направления включают помощь человеку, экологические мероприятия, </w:t>
      </w:r>
      <w:proofErr w:type="spellStart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автоволонтёрство</w:t>
      </w:r>
      <w:proofErr w:type="spellEnd"/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логистику, профессиональное волонтёрство, благотворительные сборы, мастер-классы, адресную помощь и наставничество.</w:t>
      </w:r>
    </w:p>
    <w:p w14:paraId="01CB285C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Принципиальная особенность — переход «благополучатель → волонтёр → наставник».</w:t>
      </w:r>
    </w:p>
    <w:p w14:paraId="69D81109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человека, прошедшего реабилитацию, возможность самому помогать другим становится признаком возвращения к полноценной социальной роли.</w:t>
      </w:r>
    </w:p>
    <w:p w14:paraId="21126848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14. Помощь участникам СВО и гуманитарное добровольчество</w:t>
      </w:r>
    </w:p>
    <w:p w14:paraId="5A374CC0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Социальная ответственность организации выходит за пределы основной деятельности.</w:t>
      </w:r>
    </w:p>
    <w:p w14:paraId="16883D3E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Команда и благополучатели участвуют в изготовлении и передаче гуманитарной помощи участникам специальной военной операции.</w:t>
      </w:r>
    </w:p>
    <w:p w14:paraId="03A21EB0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Нягани на постоянной основе развивается направление поддержки фронта: передаются маскировочные сети, браслеты выживания, заготовки и другие необходимые материалы, организуются гуманитарные инициативы.</w:t>
      </w:r>
    </w:p>
    <w:p w14:paraId="7D7FEB06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Для благополучателей участие в такой деятельности имеет также реабилитационное значение: человек, который сам недавно находился в позиции нуждающегося, получает опыт общественно полезного труда, ответственности и причастности к помощи другим.</w:t>
      </w:r>
    </w:p>
    <w:p w14:paraId="2F684203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15. Кадровая устойчивость и повышение квалификации</w:t>
      </w:r>
    </w:p>
    <w:p w14:paraId="4DB93818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«Фавор» рассматривает постоянное обучение сотрудников как один из основных инструментов качества социальных услуг.</w:t>
      </w:r>
    </w:p>
    <w:p w14:paraId="55A9C3BD" w14:textId="5462CA6C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2025 году, по данным организации, </w:t>
      </w: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</w:t>
      </w: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0% работников повысили квалификацию или получили дополнительное профессиональное образование.</w:t>
      </w:r>
    </w:p>
    <w:p w14:paraId="6CC70D63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Обучение осуществлялось как через программы дополнительного профессионального образования, так и через ресурсные центры, профильные обучающие площадки и практико-ориентированные интенсивы.</w:t>
      </w:r>
    </w:p>
    <w:p w14:paraId="2B59861A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Приоритетные направления профессионального развития команды:</w:t>
      </w:r>
    </w:p>
    <w:p w14:paraId="247A65F2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современные технологии социальной работы;</w:t>
      </w:r>
    </w:p>
    <w:p w14:paraId="06A5A7DE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семейная медиация и восстановительные практики;</w:t>
      </w:r>
    </w:p>
    <w:p w14:paraId="1C25B6E8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семейное психологическое консультирование;</w:t>
      </w:r>
    </w:p>
    <w:p w14:paraId="6DE6B227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 с зависимым и созависимым поведением;</w:t>
      </w:r>
    </w:p>
    <w:p w14:paraId="464D7422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подростковые аддикции и профилактика деструктивного поведения;</w:t>
      </w:r>
    </w:p>
    <w:p w14:paraId="246D20D5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арт-терапевтические технологии;</w:t>
      </w:r>
    </w:p>
    <w:p w14:paraId="0991551D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 с психологической травмой и ПТСР;</w:t>
      </w:r>
    </w:p>
    <w:p w14:paraId="277AE2D3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финансовая грамотность;</w:t>
      </w:r>
    </w:p>
    <w:p w14:paraId="305C6F5A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социальное проектирование;</w:t>
      </w:r>
    </w:p>
    <w:p w14:paraId="65289A19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пожарная безопасность;</w:t>
      </w:r>
    </w:p>
    <w:p w14:paraId="61AC9915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управление социальными программами и НКО;</w:t>
      </w:r>
    </w:p>
    <w:p w14:paraId="357998F7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коммуникации с благополучателями сложных категорий;</w:t>
      </w:r>
    </w:p>
    <w:p w14:paraId="14EE0982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ведение социальных сетей;</w:t>
      </w:r>
    </w:p>
    <w:p w14:paraId="0AEF8889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PR социальных проектов;</w:t>
      </w:r>
    </w:p>
    <w:p w14:paraId="2255AE1D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социальный маркетинг и фандрайзинг;</w:t>
      </w:r>
    </w:p>
    <w:p w14:paraId="4C0546CE" w14:textId="77777777" w:rsidR="00897FB2" w:rsidRPr="00897FB2" w:rsidRDefault="00897FB2" w:rsidP="00897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информационное сопровождение деятельности НКО.</w:t>
      </w:r>
    </w:p>
    <w:p w14:paraId="017A367D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команде работают специалисты психологического, педагогического, социального и медицинского профиля.</w:t>
      </w:r>
    </w:p>
    <w:p w14:paraId="4889113B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 данным организации, два сотрудника имеют высшее образование психолого-педагогического профиля уровня бакалавриата.</w:t>
      </w:r>
    </w:p>
    <w:p w14:paraId="4D66EAA3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Такой кадровый подход позволяет не замыкаться на одном методе помощи и формировать междисциплинарные команды под конкретный социальный случай.</w:t>
      </w:r>
    </w:p>
    <w:p w14:paraId="00444B3B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16. Территориальное развитие</w:t>
      </w:r>
    </w:p>
    <w:p w14:paraId="5706CC02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Проект «Адаптационный корпус» в Ханты-Мансийске и Ханты-Мансийском районе получил поддержку гранта Губернатора ХМАО — Югры в размере 7 587 908 рублей.</w:t>
      </w:r>
    </w:p>
    <w:p w14:paraId="3ACD3DB3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Следующим этапом стало развитие инфраструктуры в Нягани.</w:t>
      </w:r>
    </w:p>
    <w:p w14:paraId="6EC4BD23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Проект «Адаптационный корпус в г. Нягани» получил поддержку гранта Губернатора Югры в размере 7 516 075 рублей.</w:t>
      </w:r>
    </w:p>
    <w:p w14:paraId="0C98E200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Таким образом, «Фавор» демонстрирует способность не только создать социальную технологию, но и переносить её на другие территории округа.</w:t>
      </w:r>
    </w:p>
    <w:p w14:paraId="6022DE42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17. Разработка и тиражирование социальных практик</w:t>
      </w:r>
    </w:p>
    <w:p w14:paraId="34B57606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«Фавор» имеет опыт создания направлений, способных со временем становиться самостоятельными организациями.</w:t>
      </w:r>
    </w:p>
    <w:p w14:paraId="307D9B2C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Наиболее показательный пример — «Рубикон».</w:t>
      </w:r>
    </w:p>
    <w:p w14:paraId="5DB6BC67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Изначально подростковая практика была создана и развивалась внутри социальной системы «Фавора».</w:t>
      </w:r>
    </w:p>
    <w:p w14:paraId="466697F4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После этапа апробации направление получило собственную методическую базу, команду, партнёрства и инфраструктуру и с 2025 года развивается отдельным юридическим лицом.</w:t>
      </w:r>
    </w:p>
    <w:p w14:paraId="68E051FE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свидетельствует о зрелости организации: «Фавор» способен не только самостоятельно предоставлять услуги, но и создавать социальные технологии, которые становятся самостоятельными устойчивыми институтами.</w:t>
      </w:r>
    </w:p>
    <w:p w14:paraId="00B65BC3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18. Финансовая устойчивость и фандрайзинг</w:t>
      </w:r>
    </w:p>
    <w:p w14:paraId="6EEAFD30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Устойчивость «Фавора» строится не на одном источнике финансирования.</w:t>
      </w:r>
    </w:p>
    <w:p w14:paraId="480000DE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сочетает государственное финансирование социальных услуг, грантовые средства, благотворительные пожертвования, партнёрство с бизнесом, добровольческий ресурс и развитие собственной фандрайзинговой системы.</w:t>
      </w:r>
    </w:p>
    <w:p w14:paraId="432E0F34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Одним из инструментов является ежегодный благотворительный вечер «Фавора», который объединяет предпринимателей, руководителей организаций, общественных деятелей и представителей органов власти.</w:t>
      </w:r>
    </w:p>
    <w:p w14:paraId="590A0D77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 данным организации, в благотворительных мероприятиях и партнёрской поддержке «Фавора» за годы их проведения приняли участие более 150 компаний, предпринимателей и представителей органов власти.</w:t>
      </w:r>
    </w:p>
    <w:p w14:paraId="71B36452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Благотворительный вечер выполняет сразу несколько задач: привлекает ресурсы, формирует круг постоянных партнёров, рассказывает бизнесу о результатах социальной работы и превращает благотворительность из разовой помощи в долгосрочное сотрудничество.</w:t>
      </w:r>
    </w:p>
    <w:p w14:paraId="0A1C92AE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19. Развитие собственных доходов</w:t>
      </w:r>
    </w:p>
    <w:p w14:paraId="0533DE7A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Следующий этап устойчивости — постепенное развитие социальных услуг и коммерческих направлений, доход от которых может поддерживать благотворительную деятельность.</w:t>
      </w:r>
    </w:p>
    <w:p w14:paraId="31EAA9D1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числе перспективных направлений — услуги присмотра и ухода за тяжелобольными гражданами, сопровождение семей, психологические и образовательные услуги, </w:t>
      </w: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профессиональное обучение, использование трудовых мастерских и другие социально ориентированные форматы.</w:t>
      </w:r>
    </w:p>
    <w:p w14:paraId="128172F2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Принципиальный подход: коммерческая деятельность не заменяет благотворительность, а становится дополнительным источником устойчивости организации.</w:t>
      </w:r>
    </w:p>
    <w:p w14:paraId="0B23745A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Таким образом формируется более сбалансированная модель:</w:t>
      </w:r>
    </w:p>
    <w:p w14:paraId="6A334A47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социальный заказ + гранты + благотворительность + бизнес-партнёрства + собственные доходы + добровольческий ресурс.</w:t>
      </w:r>
    </w:p>
    <w:p w14:paraId="4CB57EBA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Это снижает зависимость организации от одного источника финансирования и позволяет планировать развитие на несколько лет вперёд.</w:t>
      </w:r>
    </w:p>
    <w:p w14:paraId="69CB85DA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20. Межсекторное взаимодействие</w:t>
      </w:r>
    </w:p>
    <w:p w14:paraId="3FDAE5B2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«Фавор» выстроил широкую сеть взаимодействия с государственными учреждениями, социальной защитой, здравоохранением, образовательными организациями, службами занятости, органами опеки, общественными организациями, бизнесом и добровольческими объединениями.</w:t>
      </w:r>
    </w:p>
    <w:p w14:paraId="4BAAADE9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 данным организации, заключено более 69 соглашений о взаимодействии с организациями Ханты-Мансийского автономного округа — Югры.</w:t>
      </w:r>
    </w:p>
    <w:p w14:paraId="6DDEB216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Партнёрская сеть позволяет подбирать решение под конкретного человека, а не пытаться выполнить все задачи ресурсами одной НКО.</w:t>
      </w:r>
    </w:p>
    <w:p w14:paraId="1362EC28" w14:textId="77777777" w:rsidR="00897FB2" w:rsidRPr="00897FB2" w:rsidRDefault="00897FB2" w:rsidP="00897F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21. Общественное признание</w:t>
      </w:r>
    </w:p>
    <w:p w14:paraId="550A7F3D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Руководитель РБООСАГ «Фавор» удостоен специального знака «Благотворитель Югры».</w:t>
      </w:r>
    </w:p>
    <w:p w14:paraId="0EC036A8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Практики организации получали региональное признание, грантовую поддержку и использовались для развития новых социальных направлений.</w:t>
      </w:r>
    </w:p>
    <w:p w14:paraId="7EFD894B" w14:textId="77777777" w:rsidR="00897FB2" w:rsidRPr="00897FB2" w:rsidRDefault="00897FB2" w:rsidP="00897F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97FB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Сам факт того, что отдельные практики «Фавора» масштабируются, превращаются в самостоятельные проекты и запрашиваются на других территориях, является показателем институциональной зрелости организации.</w:t>
      </w:r>
    </w:p>
    <w:p w14:paraId="3C1F907B" w14:textId="77777777" w:rsidR="00897FB2" w:rsidRPr="00897FB2" w:rsidRDefault="00897FB2"/>
    <w:sectPr w:rsidR="00897FB2" w:rsidRPr="00897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A1FC5"/>
    <w:multiLevelType w:val="multilevel"/>
    <w:tmpl w:val="16A8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714478"/>
    <w:multiLevelType w:val="multilevel"/>
    <w:tmpl w:val="F2BE0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7686941">
    <w:abstractNumId w:val="0"/>
  </w:num>
  <w:num w:numId="2" w16cid:durableId="1435202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FB2"/>
    <w:rsid w:val="00897FB2"/>
    <w:rsid w:val="009D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EEF25D"/>
  <w15:chartTrackingRefBased/>
  <w15:docId w15:val="{0421829C-8AE6-1347-81A4-4F415F1BA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7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97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97F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7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7F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7F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7F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7F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7F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7F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97F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97F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7F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7F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7F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7F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7F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7F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7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7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7F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7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7F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7F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7F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7F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7F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7F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7FB2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897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897F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3093</Words>
  <Characters>17634</Characters>
  <Application>Microsoft Office Word</Application>
  <DocSecurity>0</DocSecurity>
  <Lines>146</Lines>
  <Paragraphs>41</Paragraphs>
  <ScaleCrop>false</ScaleCrop>
  <Company/>
  <LinksUpToDate>false</LinksUpToDate>
  <CharactersWithSpaces>20686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Lazhinceva</dc:creator>
  <cp:keywords/>
  <dc:description/>
  <cp:lastModifiedBy>Olga Lazhinceva</cp:lastModifiedBy>
  <cp:revision>1</cp:revision>
  <dcterms:created xsi:type="dcterms:W3CDTF">2026-08-23T07:32:00Z</dcterms:created>
  <dcterms:modified xsi:type="dcterms:W3CDTF">2026-08-23T10:36:00Z</dcterms:modified>
</cp:coreProperties>
</file>