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09" w:rsidRDefault="00F16295" w:rsidP="00B31915">
      <w:pPr>
        <w:jc w:val="center"/>
        <w:rPr>
          <w:b/>
          <w:sz w:val="24"/>
          <w:szCs w:val="24"/>
        </w:rPr>
      </w:pPr>
      <w:r w:rsidRPr="00874518">
        <w:rPr>
          <w:b/>
          <w:sz w:val="24"/>
          <w:szCs w:val="24"/>
        </w:rPr>
        <w:t xml:space="preserve">Паспорт </w:t>
      </w:r>
      <w:r w:rsidR="006B2C09">
        <w:rPr>
          <w:b/>
          <w:sz w:val="24"/>
          <w:szCs w:val="24"/>
        </w:rPr>
        <w:t xml:space="preserve">социального проекта </w:t>
      </w:r>
    </w:p>
    <w:p w:rsidR="00B31915" w:rsidRDefault="006B2C09" w:rsidP="00B31915">
      <w:pPr>
        <w:jc w:val="center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«Командные соревнования по настольным играм «Серебряные игры - 2»</w:t>
      </w:r>
    </w:p>
    <w:p w:rsidR="008C7109" w:rsidRPr="00B31915" w:rsidRDefault="008C7109" w:rsidP="00B31915">
      <w:pPr>
        <w:jc w:val="center"/>
        <w:rPr>
          <w:b/>
          <w:i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528"/>
      </w:tblGrid>
      <w:tr w:rsidR="00F16295" w:rsidRPr="00183204" w:rsidTr="00B54AB9">
        <w:tc>
          <w:tcPr>
            <w:tcW w:w="3936" w:type="dxa"/>
            <w:shd w:val="clear" w:color="auto" w:fill="auto"/>
          </w:tcPr>
          <w:p w:rsidR="00F16295" w:rsidRPr="00183204" w:rsidRDefault="00F16295" w:rsidP="00B54AB9">
            <w:pPr>
              <w:jc w:val="both"/>
              <w:rPr>
                <w:b/>
                <w:sz w:val="24"/>
                <w:szCs w:val="24"/>
              </w:rPr>
            </w:pPr>
            <w:r w:rsidRPr="00183204">
              <w:rPr>
                <w:b/>
                <w:sz w:val="24"/>
                <w:szCs w:val="24"/>
              </w:rPr>
              <w:t>Наименование учреждения с указанием территориальной  принадлежности</w:t>
            </w:r>
          </w:p>
        </w:tc>
        <w:tc>
          <w:tcPr>
            <w:tcW w:w="5528" w:type="dxa"/>
            <w:shd w:val="clear" w:color="auto" w:fill="auto"/>
          </w:tcPr>
          <w:p w:rsidR="00F16295" w:rsidRPr="00183204" w:rsidRDefault="00F16295" w:rsidP="006B2C09">
            <w:pPr>
              <w:jc w:val="both"/>
              <w:rPr>
                <w:sz w:val="24"/>
                <w:szCs w:val="24"/>
              </w:rPr>
            </w:pPr>
            <w:r w:rsidRPr="00183204">
              <w:rPr>
                <w:sz w:val="24"/>
                <w:szCs w:val="24"/>
              </w:rPr>
              <w:t>Бюджетное учреждение Ханты-Мансийского автономного округа-Югра «</w:t>
            </w:r>
            <w:r w:rsidR="006B2C09">
              <w:rPr>
                <w:sz w:val="24"/>
                <w:szCs w:val="24"/>
              </w:rPr>
              <w:t>Сургутский районный к</w:t>
            </w:r>
            <w:r w:rsidRPr="00183204">
              <w:rPr>
                <w:sz w:val="24"/>
                <w:szCs w:val="24"/>
              </w:rPr>
              <w:t>омплексный центр социальног</w:t>
            </w:r>
            <w:r w:rsidR="006B2C09">
              <w:rPr>
                <w:sz w:val="24"/>
                <w:szCs w:val="24"/>
              </w:rPr>
              <w:t>о обслуживания населения</w:t>
            </w:r>
            <w:r w:rsidRPr="00183204">
              <w:rPr>
                <w:sz w:val="24"/>
                <w:szCs w:val="24"/>
              </w:rPr>
              <w:t>»</w:t>
            </w:r>
          </w:p>
        </w:tc>
      </w:tr>
      <w:tr w:rsidR="00F16295" w:rsidRPr="00183204" w:rsidTr="00B54AB9">
        <w:tc>
          <w:tcPr>
            <w:tcW w:w="3936" w:type="dxa"/>
            <w:shd w:val="clear" w:color="auto" w:fill="auto"/>
          </w:tcPr>
          <w:p w:rsidR="00F16295" w:rsidRPr="00183204" w:rsidRDefault="00F16295" w:rsidP="00B54AB9">
            <w:pPr>
              <w:jc w:val="both"/>
              <w:rPr>
                <w:b/>
                <w:sz w:val="24"/>
                <w:szCs w:val="24"/>
              </w:rPr>
            </w:pPr>
            <w:r w:rsidRPr="00183204">
              <w:rPr>
                <w:b/>
                <w:sz w:val="24"/>
                <w:szCs w:val="24"/>
              </w:rPr>
              <w:t>Наименование  программы/проекта/технологии с указанием:</w:t>
            </w:r>
          </w:p>
          <w:p w:rsidR="00F16295" w:rsidRPr="00183204" w:rsidRDefault="00F16295" w:rsidP="00B54AB9">
            <w:pPr>
              <w:jc w:val="both"/>
              <w:rPr>
                <w:sz w:val="24"/>
                <w:szCs w:val="24"/>
              </w:rPr>
            </w:pPr>
            <w:r w:rsidRPr="00183204">
              <w:rPr>
                <w:sz w:val="24"/>
                <w:szCs w:val="24"/>
              </w:rPr>
              <w:t>Типа программы;</w:t>
            </w:r>
          </w:p>
          <w:p w:rsidR="00F16295" w:rsidRPr="00183204" w:rsidRDefault="00F16295" w:rsidP="00B54AB9">
            <w:pPr>
              <w:jc w:val="both"/>
              <w:rPr>
                <w:sz w:val="24"/>
                <w:szCs w:val="24"/>
              </w:rPr>
            </w:pPr>
            <w:r w:rsidRPr="00183204">
              <w:rPr>
                <w:sz w:val="24"/>
                <w:szCs w:val="24"/>
              </w:rPr>
              <w:t>Категории клиентов, на которую направлена программа;</w:t>
            </w:r>
          </w:p>
          <w:p w:rsidR="00F16295" w:rsidRPr="00183204" w:rsidRDefault="00F16295" w:rsidP="00B54AB9">
            <w:pPr>
              <w:jc w:val="both"/>
              <w:rPr>
                <w:b/>
                <w:sz w:val="24"/>
                <w:szCs w:val="24"/>
              </w:rPr>
            </w:pPr>
            <w:r w:rsidRPr="00183204">
              <w:rPr>
                <w:sz w:val="24"/>
                <w:szCs w:val="24"/>
              </w:rPr>
              <w:t>Специфика условий ее реализации</w:t>
            </w:r>
          </w:p>
        </w:tc>
        <w:tc>
          <w:tcPr>
            <w:tcW w:w="5528" w:type="dxa"/>
            <w:shd w:val="clear" w:color="auto" w:fill="auto"/>
          </w:tcPr>
          <w:p w:rsidR="006B2C09" w:rsidRDefault="006B2C09" w:rsidP="00650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Социальный проект </w:t>
            </w:r>
          </w:p>
          <w:p w:rsidR="006B2C09" w:rsidRDefault="006B2C09" w:rsidP="006500B6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«Командные соревнования по настольным играм «Серебряные игры - 2»</w:t>
            </w:r>
          </w:p>
          <w:p w:rsidR="00F16295" w:rsidRPr="00183204" w:rsidRDefault="00F16295" w:rsidP="00B31915">
            <w:pPr>
              <w:jc w:val="both"/>
              <w:rPr>
                <w:sz w:val="24"/>
                <w:szCs w:val="24"/>
              </w:rPr>
            </w:pPr>
          </w:p>
        </w:tc>
      </w:tr>
      <w:tr w:rsidR="00F16295" w:rsidRPr="00183204" w:rsidTr="00B54AB9">
        <w:tc>
          <w:tcPr>
            <w:tcW w:w="3936" w:type="dxa"/>
            <w:shd w:val="clear" w:color="auto" w:fill="auto"/>
          </w:tcPr>
          <w:p w:rsidR="00F16295" w:rsidRPr="00183204" w:rsidRDefault="00F16295" w:rsidP="00B54AB9">
            <w:pPr>
              <w:jc w:val="both"/>
              <w:rPr>
                <w:b/>
                <w:sz w:val="24"/>
                <w:szCs w:val="24"/>
              </w:rPr>
            </w:pPr>
            <w:r w:rsidRPr="00183204">
              <w:rPr>
                <w:b/>
                <w:sz w:val="24"/>
                <w:szCs w:val="24"/>
              </w:rPr>
              <w:t>Сведения  об авторе/составителе программы/проекта/технологии</w:t>
            </w:r>
          </w:p>
          <w:p w:rsidR="00F16295" w:rsidRPr="00183204" w:rsidRDefault="00F16295" w:rsidP="00B54AB9">
            <w:pPr>
              <w:jc w:val="both"/>
              <w:rPr>
                <w:b/>
                <w:sz w:val="24"/>
                <w:szCs w:val="24"/>
              </w:rPr>
            </w:pPr>
            <w:r w:rsidRPr="00183204">
              <w:rPr>
                <w:b/>
                <w:sz w:val="24"/>
                <w:szCs w:val="24"/>
              </w:rPr>
              <w:t>(указывается ФИО, должность в учреждении</w:t>
            </w:r>
          </w:p>
        </w:tc>
        <w:tc>
          <w:tcPr>
            <w:tcW w:w="5528" w:type="dxa"/>
            <w:shd w:val="clear" w:color="auto" w:fill="auto"/>
          </w:tcPr>
          <w:p w:rsidR="00F16295" w:rsidRPr="00183204" w:rsidRDefault="00EF63CD" w:rsidP="008C71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Комарова Жанна </w:t>
            </w:r>
            <w:proofErr w:type="spellStart"/>
            <w:r>
              <w:rPr>
                <w:sz w:val="24"/>
                <w:szCs w:val="24"/>
              </w:rPr>
              <w:t>Сайпутдиновна</w:t>
            </w:r>
            <w:proofErr w:type="spellEnd"/>
            <w:r>
              <w:rPr>
                <w:sz w:val="24"/>
                <w:szCs w:val="24"/>
              </w:rPr>
              <w:t xml:space="preserve">, заведующий отделением социальной реабилитации и </w:t>
            </w:r>
            <w:proofErr w:type="spellStart"/>
            <w:r>
              <w:rPr>
                <w:sz w:val="24"/>
                <w:szCs w:val="24"/>
              </w:rPr>
              <w:t>абилитации</w:t>
            </w:r>
            <w:proofErr w:type="spellEnd"/>
            <w:r>
              <w:rPr>
                <w:sz w:val="24"/>
                <w:szCs w:val="24"/>
              </w:rPr>
              <w:t xml:space="preserve"> БУ «Сургутский районный комплексный центр социального обслуживания населения»</w:t>
            </w:r>
          </w:p>
        </w:tc>
      </w:tr>
      <w:tr w:rsidR="00F16295" w:rsidRPr="00183204" w:rsidTr="00B54AB9">
        <w:tc>
          <w:tcPr>
            <w:tcW w:w="3936" w:type="dxa"/>
            <w:shd w:val="clear" w:color="auto" w:fill="auto"/>
          </w:tcPr>
          <w:p w:rsidR="00F16295" w:rsidRPr="007C782F" w:rsidRDefault="007C782F" w:rsidP="007C782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актуальности</w:t>
            </w:r>
          </w:p>
        </w:tc>
        <w:tc>
          <w:tcPr>
            <w:tcW w:w="5528" w:type="dxa"/>
            <w:shd w:val="clear" w:color="auto" w:fill="auto"/>
          </w:tcPr>
          <w:p w:rsidR="003011A1" w:rsidRDefault="00EF63CD" w:rsidP="003011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3011A1" w:rsidRPr="003011A1">
              <w:rPr>
                <w:color w:val="000000"/>
                <w:sz w:val="24"/>
                <w:szCs w:val="24"/>
              </w:rPr>
              <w:t xml:space="preserve">Для </w:t>
            </w:r>
            <w:r w:rsidR="003011A1">
              <w:rPr>
                <w:color w:val="000000"/>
                <w:sz w:val="24"/>
                <w:szCs w:val="24"/>
              </w:rPr>
              <w:t>Ханты – Мансийского автономного округа – Югры, как в целом и для</w:t>
            </w:r>
            <w:r w:rsidR="00EC7DDF">
              <w:rPr>
                <w:color w:val="000000"/>
                <w:sz w:val="24"/>
                <w:szCs w:val="24"/>
              </w:rPr>
              <w:t xml:space="preserve"> всей</w:t>
            </w:r>
            <w:r w:rsidR="003011A1">
              <w:rPr>
                <w:color w:val="000000"/>
                <w:sz w:val="24"/>
                <w:szCs w:val="24"/>
              </w:rPr>
              <w:t xml:space="preserve"> нашей страны, характерна тенденция увеличения доли пожилых людей в возрастной структуре населения. Эта ситуация требует действенных мер: необходимо обеспечивать и совершенствовать высокое качество жизни пожилых граждан, создавать условия для самореализации, учитывая нуждаемость пенсионеров. </w:t>
            </w:r>
            <w:bookmarkStart w:id="0" w:name="_GoBack"/>
            <w:bookmarkEnd w:id="0"/>
          </w:p>
          <w:p w:rsidR="003011A1" w:rsidRDefault="003011A1" w:rsidP="00301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Пожилые люди уделяют большое внимание здоровью и регулярно задаются вопросами преодоления недугов, сохранения активности, интереса к жизни, даже при наличии физических ограничений. Принцип долголетия – это оздоровление тела, души и духа. Увеличение уровня продолжительности и качества жизнивозможно при сочетании составляющих здорового образа жизни:</w:t>
            </w:r>
            <w:r w:rsidR="005C3389">
              <w:rPr>
                <w:sz w:val="24"/>
                <w:szCs w:val="24"/>
              </w:rPr>
              <w:t xml:space="preserve"> разумного чередования труда и отдыха, полезной пищи, физкультуры и спорта, интересных занятий, новых встреч. Поэтому, информирование о способах здорового долголетия, расширение возможностей для самореализации пожилых становятся делом исключительной важности. Эти меры позволяют поднять уровень социального и психологического благополучия пожилых людей, удовлетворяя их потребность в развитии и активном использовании личностных ресурсов на благо всего общества. </w:t>
            </w:r>
          </w:p>
          <w:p w:rsidR="005C3389" w:rsidRDefault="007D0D0C" w:rsidP="00301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Только небольшая часть пожилых людей активно </w:t>
            </w:r>
            <w:proofErr w:type="gramStart"/>
            <w:r>
              <w:rPr>
                <w:sz w:val="24"/>
                <w:szCs w:val="24"/>
              </w:rPr>
              <w:t>включены</w:t>
            </w:r>
            <w:proofErr w:type="gramEnd"/>
            <w:r>
              <w:rPr>
                <w:sz w:val="24"/>
                <w:szCs w:val="24"/>
              </w:rPr>
              <w:t xml:space="preserve"> в социум: участвуют в оздоровительных, социокультурных, творческих и других мероприятиях.</w:t>
            </w:r>
          </w:p>
          <w:p w:rsidR="0073132B" w:rsidRDefault="007D0D0C" w:rsidP="0073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Для группы пенсионеров, имеющих </w:t>
            </w:r>
            <w:r>
              <w:rPr>
                <w:sz w:val="24"/>
                <w:szCs w:val="24"/>
              </w:rPr>
              <w:lastRenderedPageBreak/>
              <w:t>ограничения жизнедеятельности в силу возраста, часто становятся недоступными включение в сообщества по интересам и предпочтениям. Но, мероприятия, позволяющие не просто быть пассивными потребителями услуг, но и включиться в социум, актуальны и для них. Один из эффективных способов, позволяющий решить проблему – настольные игры. Насто</w:t>
            </w:r>
            <w:r w:rsidR="00EC7DDF">
              <w:rPr>
                <w:sz w:val="24"/>
                <w:szCs w:val="24"/>
              </w:rPr>
              <w:t xml:space="preserve">льные игры способствуют общению, налаживанию позитивных контактов. Доказано, что настольные игры снижают риск когнитивных способностей, которое зачастую связывают со слабоумием, болезнью Альцгеймера и другими подобными заболеваниями, развивают реакцию, тренируют память, позволяют бороться со стрессом, т.е. положительно влияют на здоровье пожилого человека. </w:t>
            </w:r>
            <w:r w:rsidR="000735DB">
              <w:rPr>
                <w:sz w:val="24"/>
                <w:szCs w:val="24"/>
              </w:rPr>
              <w:t xml:space="preserve">Проект организации командных соревнований по настольным играм «Серебряные игры» для пожилых людей, решают две ключевые проблемы: </w:t>
            </w:r>
            <w:proofErr w:type="gramStart"/>
            <w:r w:rsidR="000735DB">
              <w:rPr>
                <w:sz w:val="24"/>
                <w:szCs w:val="24"/>
              </w:rPr>
              <w:t>Во</w:t>
            </w:r>
            <w:proofErr w:type="gramEnd"/>
            <w:r w:rsidR="000735DB">
              <w:rPr>
                <w:sz w:val="24"/>
                <w:szCs w:val="24"/>
              </w:rPr>
              <w:t xml:space="preserve">- первых, в рамках обучающей части пожилые люди узнают об истории создания, развития настольных игр, их правилах, значении для здоровья в пожилом возрасте; во- вторых, каждый участник проекта сможет применить свои знания в командных соревнованиях, таким образом, убедиться в собственной значимости для себя и общества, стать более активным участником социума. </w:t>
            </w:r>
          </w:p>
          <w:p w:rsidR="0073132B" w:rsidRPr="0073132B" w:rsidRDefault="0073132B" w:rsidP="0073132B">
            <w:pPr>
              <w:rPr>
                <w:iCs/>
                <w:sz w:val="24"/>
                <w:szCs w:val="24"/>
              </w:rPr>
            </w:pPr>
            <w:r w:rsidRPr="0073132B">
              <w:rPr>
                <w:sz w:val="24"/>
                <w:szCs w:val="24"/>
              </w:rPr>
              <w:t xml:space="preserve">Первый социальный проект «Командные соревнования по настольным играм «Серебряные игры» </w:t>
            </w:r>
            <w:r w:rsidR="007A2902" w:rsidRPr="007A2902">
              <w:rPr>
                <w:sz w:val="24"/>
                <w:szCs w:val="24"/>
              </w:rPr>
              <w:t>был разработан и реализован в 2018</w:t>
            </w:r>
            <w:r w:rsidRPr="007A2902">
              <w:rPr>
                <w:sz w:val="24"/>
                <w:szCs w:val="24"/>
              </w:rPr>
              <w:t xml:space="preserve"> году.</w:t>
            </w:r>
            <w:r>
              <w:rPr>
                <w:sz w:val="24"/>
                <w:szCs w:val="24"/>
              </w:rPr>
              <w:t xml:space="preserve">  На реализацию проекта были выделены </w:t>
            </w:r>
            <w:r w:rsidR="004E6194">
              <w:rPr>
                <w:sz w:val="24"/>
                <w:szCs w:val="24"/>
              </w:rPr>
              <w:t xml:space="preserve">денежные </w:t>
            </w:r>
            <w:r>
              <w:rPr>
                <w:sz w:val="24"/>
                <w:szCs w:val="24"/>
              </w:rPr>
              <w:t xml:space="preserve">средства благотворительным фондом «Хорошие истории» в размере  94020 рублей, были приобретены  настольные игры и памятные призы. </w:t>
            </w:r>
            <w:r w:rsidR="007A2902" w:rsidRPr="007A2902">
              <w:rPr>
                <w:sz w:val="24"/>
                <w:szCs w:val="24"/>
              </w:rPr>
              <w:t>Участниками проекта стало  6 команд по 10</w:t>
            </w:r>
            <w:r w:rsidR="004E6194" w:rsidRPr="007A2902">
              <w:rPr>
                <w:sz w:val="24"/>
                <w:szCs w:val="24"/>
              </w:rPr>
              <w:t xml:space="preserve"> ч</w:t>
            </w:r>
            <w:r w:rsidRPr="007A2902">
              <w:rPr>
                <w:sz w:val="24"/>
                <w:szCs w:val="24"/>
              </w:rPr>
              <w:t>еловек,</w:t>
            </w:r>
            <w:r w:rsidR="004E6194" w:rsidRPr="007A2902">
              <w:rPr>
                <w:sz w:val="24"/>
                <w:szCs w:val="24"/>
              </w:rPr>
              <w:t xml:space="preserve"> организовано и </w:t>
            </w:r>
            <w:r w:rsidR="007A2902" w:rsidRPr="007A2902">
              <w:rPr>
                <w:sz w:val="24"/>
                <w:szCs w:val="24"/>
              </w:rPr>
              <w:t>проведено 9</w:t>
            </w:r>
            <w:r w:rsidR="004E6194" w:rsidRPr="007A2902">
              <w:rPr>
                <w:sz w:val="24"/>
                <w:szCs w:val="24"/>
              </w:rPr>
              <w:t xml:space="preserve"> командных</w:t>
            </w:r>
            <w:r w:rsidR="007A2902">
              <w:rPr>
                <w:sz w:val="24"/>
                <w:szCs w:val="24"/>
              </w:rPr>
              <w:t xml:space="preserve">  соревнований для 6 команд.</w:t>
            </w:r>
            <w:r w:rsidR="004E6194">
              <w:rPr>
                <w:sz w:val="24"/>
                <w:szCs w:val="24"/>
              </w:rPr>
              <w:t xml:space="preserve"> Проведя опрос участников проекта, было принято решение о реализации проекта </w:t>
            </w:r>
            <w:r w:rsidR="004E6194" w:rsidRPr="0073132B">
              <w:rPr>
                <w:sz w:val="24"/>
                <w:szCs w:val="24"/>
              </w:rPr>
              <w:t>«Командные соревнования по настольным играм «Серебряные игры</w:t>
            </w:r>
            <w:r w:rsidR="004E6194">
              <w:rPr>
                <w:sz w:val="24"/>
                <w:szCs w:val="24"/>
              </w:rPr>
              <w:t xml:space="preserve"> -2</w:t>
            </w:r>
            <w:r w:rsidR="004E6194" w:rsidRPr="0073132B">
              <w:rPr>
                <w:sz w:val="24"/>
                <w:szCs w:val="24"/>
              </w:rPr>
              <w:t>»</w:t>
            </w:r>
          </w:p>
          <w:p w:rsidR="00F16295" w:rsidRPr="000735DB" w:rsidRDefault="00F16295" w:rsidP="00E13520">
            <w:pPr>
              <w:jc w:val="both"/>
              <w:rPr>
                <w:sz w:val="24"/>
                <w:szCs w:val="24"/>
              </w:rPr>
            </w:pPr>
          </w:p>
        </w:tc>
      </w:tr>
      <w:tr w:rsidR="007C782F" w:rsidRPr="00183204" w:rsidTr="00B54AB9">
        <w:tc>
          <w:tcPr>
            <w:tcW w:w="3936" w:type="dxa"/>
            <w:shd w:val="clear" w:color="auto" w:fill="auto"/>
          </w:tcPr>
          <w:p w:rsidR="007C782F" w:rsidRDefault="007C782F" w:rsidP="007C782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Целевая группа</w:t>
            </w:r>
          </w:p>
        </w:tc>
        <w:tc>
          <w:tcPr>
            <w:tcW w:w="5528" w:type="dxa"/>
            <w:shd w:val="clear" w:color="auto" w:fill="auto"/>
          </w:tcPr>
          <w:p w:rsidR="007C782F" w:rsidRPr="003011A1" w:rsidRDefault="007C782F" w:rsidP="00BA557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Граждане пожилого возраста</w:t>
            </w:r>
            <w:r w:rsidR="00A8579A">
              <w:rPr>
                <w:color w:val="000000"/>
                <w:sz w:val="24"/>
                <w:szCs w:val="24"/>
              </w:rPr>
              <w:t xml:space="preserve"> (женщины от50 лет, мужчины от 55 лет, имеющие ограничения жизнедеятельности),</w:t>
            </w:r>
            <w:r w:rsidR="00BA5573">
              <w:rPr>
                <w:color w:val="000000"/>
                <w:sz w:val="24"/>
                <w:szCs w:val="24"/>
              </w:rPr>
              <w:t xml:space="preserve"> проживающие в г.п. Федоровский,</w:t>
            </w:r>
            <w:r w:rsidR="007A2902">
              <w:rPr>
                <w:color w:val="000000"/>
                <w:sz w:val="24"/>
                <w:szCs w:val="24"/>
              </w:rPr>
              <w:t xml:space="preserve"> </w:t>
            </w:r>
            <w:r w:rsidR="00A8579A">
              <w:rPr>
                <w:color w:val="000000"/>
                <w:sz w:val="24"/>
                <w:szCs w:val="24"/>
              </w:rPr>
              <w:t xml:space="preserve">Сургутского района, получающие услуги в учреждении. </w:t>
            </w:r>
          </w:p>
        </w:tc>
      </w:tr>
      <w:tr w:rsidR="00F16295" w:rsidRPr="00183204" w:rsidTr="00B54AB9">
        <w:tc>
          <w:tcPr>
            <w:tcW w:w="3936" w:type="dxa"/>
            <w:shd w:val="clear" w:color="auto" w:fill="auto"/>
          </w:tcPr>
          <w:p w:rsidR="00F16295" w:rsidRPr="00183204" w:rsidRDefault="00F16295" w:rsidP="00B54AB9">
            <w:pPr>
              <w:jc w:val="both"/>
              <w:rPr>
                <w:b/>
                <w:sz w:val="24"/>
                <w:szCs w:val="24"/>
              </w:rPr>
            </w:pPr>
            <w:r w:rsidRPr="00183204">
              <w:rPr>
                <w:b/>
                <w:sz w:val="24"/>
                <w:szCs w:val="24"/>
              </w:rPr>
              <w:t>Цель программы/проекта/технологии</w:t>
            </w:r>
          </w:p>
        </w:tc>
        <w:tc>
          <w:tcPr>
            <w:tcW w:w="5528" w:type="dxa"/>
            <w:shd w:val="clear" w:color="auto" w:fill="auto"/>
          </w:tcPr>
          <w:p w:rsidR="00F16295" w:rsidRPr="00183204" w:rsidRDefault="006B2C09" w:rsidP="00B54AB9">
            <w:pPr>
              <w:suppressAutoHyphens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Расширение представлений пожилых людей с ограниченными возможностями здоровья, п</w:t>
            </w:r>
            <w:r w:rsidR="004438CF">
              <w:rPr>
                <w:sz w:val="24"/>
                <w:szCs w:val="24"/>
              </w:rPr>
              <w:t xml:space="preserve">роживающих в </w:t>
            </w:r>
            <w:proofErr w:type="spellStart"/>
            <w:r w:rsidR="004438CF">
              <w:rPr>
                <w:sz w:val="24"/>
                <w:szCs w:val="24"/>
              </w:rPr>
              <w:t>Сургутс</w:t>
            </w:r>
            <w:r>
              <w:rPr>
                <w:sz w:val="24"/>
                <w:szCs w:val="24"/>
              </w:rPr>
              <w:t>ком</w:t>
            </w:r>
            <w:proofErr w:type="spellEnd"/>
            <w:r>
              <w:rPr>
                <w:sz w:val="24"/>
                <w:szCs w:val="24"/>
              </w:rPr>
              <w:t xml:space="preserve"> районе о возможностях настольных игр для поддержания здоровья в пожилом возрасте, углубление знаний </w:t>
            </w:r>
            <w:r>
              <w:rPr>
                <w:sz w:val="24"/>
                <w:szCs w:val="24"/>
              </w:rPr>
              <w:lastRenderedPageBreak/>
              <w:t>об их истории, развитии, правилах, связи с народным фольклором, создание условий для самореализации при участии в командных соревнованиях по настольным играм.</w:t>
            </w:r>
          </w:p>
        </w:tc>
      </w:tr>
      <w:tr w:rsidR="00F16295" w:rsidRPr="00183204" w:rsidTr="00B54AB9">
        <w:tc>
          <w:tcPr>
            <w:tcW w:w="3936" w:type="dxa"/>
            <w:shd w:val="clear" w:color="auto" w:fill="auto"/>
          </w:tcPr>
          <w:p w:rsidR="00F16295" w:rsidRPr="00183204" w:rsidRDefault="00F16295" w:rsidP="00B54AB9">
            <w:pPr>
              <w:jc w:val="both"/>
              <w:rPr>
                <w:b/>
                <w:sz w:val="24"/>
                <w:szCs w:val="24"/>
              </w:rPr>
            </w:pPr>
            <w:r w:rsidRPr="00183204">
              <w:rPr>
                <w:b/>
                <w:sz w:val="24"/>
                <w:szCs w:val="24"/>
              </w:rPr>
              <w:lastRenderedPageBreak/>
              <w:t>Задачи:</w:t>
            </w:r>
          </w:p>
          <w:p w:rsidR="00F16295" w:rsidRPr="00183204" w:rsidRDefault="00A8579A" w:rsidP="00B54AB9">
            <w:pPr>
              <w:jc w:val="both"/>
              <w:rPr>
                <w:b/>
                <w:sz w:val="24"/>
                <w:szCs w:val="24"/>
              </w:rPr>
            </w:pPr>
            <w:r w:rsidRPr="00183204">
              <w:rPr>
                <w:b/>
                <w:sz w:val="24"/>
                <w:szCs w:val="24"/>
              </w:rPr>
              <w:t>программы/проекта/технологии</w:t>
            </w:r>
          </w:p>
        </w:tc>
        <w:tc>
          <w:tcPr>
            <w:tcW w:w="5528" w:type="dxa"/>
            <w:shd w:val="clear" w:color="auto" w:fill="auto"/>
          </w:tcPr>
          <w:p w:rsidR="00BD59D0" w:rsidRPr="00BD59D0" w:rsidRDefault="00D71775" w:rsidP="00BD59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59D0" w:rsidRPr="00BD59D0">
              <w:rPr>
                <w:sz w:val="24"/>
                <w:szCs w:val="24"/>
              </w:rPr>
              <w:t>.</w:t>
            </w:r>
            <w:r w:rsidR="00B02EC5">
              <w:rPr>
                <w:sz w:val="24"/>
                <w:szCs w:val="24"/>
              </w:rPr>
              <w:t xml:space="preserve">Провести информационную кампанию по привлечению пожилых людей </w:t>
            </w:r>
            <w:r>
              <w:rPr>
                <w:sz w:val="24"/>
                <w:szCs w:val="24"/>
              </w:rPr>
              <w:t>к участию</w:t>
            </w:r>
            <w:r w:rsidR="00B02EC5">
              <w:rPr>
                <w:sz w:val="24"/>
                <w:szCs w:val="24"/>
              </w:rPr>
              <w:t xml:space="preserve"> в проекте.</w:t>
            </w:r>
          </w:p>
          <w:p w:rsidR="00B02EC5" w:rsidRDefault="00D71775" w:rsidP="00B02EC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59D0" w:rsidRPr="00BD59D0">
              <w:rPr>
                <w:sz w:val="24"/>
                <w:szCs w:val="24"/>
              </w:rPr>
              <w:t xml:space="preserve">. </w:t>
            </w:r>
            <w:r w:rsidR="00B02EC5">
              <w:rPr>
                <w:sz w:val="24"/>
                <w:szCs w:val="24"/>
              </w:rPr>
              <w:t>Презентовать проект потенциальным участникам и партнерам, набрать слушателей для участия в обучающих мероприятиях.</w:t>
            </w:r>
          </w:p>
          <w:p w:rsidR="00B02EC5" w:rsidRDefault="00D71775" w:rsidP="00D71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02EC5">
              <w:rPr>
                <w:sz w:val="24"/>
                <w:szCs w:val="24"/>
              </w:rPr>
              <w:t>. Провести теоретические и практические</w:t>
            </w:r>
            <w:r>
              <w:rPr>
                <w:sz w:val="24"/>
                <w:szCs w:val="24"/>
              </w:rPr>
              <w:t xml:space="preserve"> занятия по обучающей программе</w:t>
            </w:r>
            <w:r w:rsidRPr="00D71775">
              <w:rPr>
                <w:sz w:val="24"/>
                <w:szCs w:val="24"/>
              </w:rPr>
              <w:t xml:space="preserve"> по истории, развитию, правилам, связи игр с народным фольклором настольных игр,</w:t>
            </w:r>
            <w:r w:rsidR="00B02EC5">
              <w:rPr>
                <w:sz w:val="24"/>
                <w:szCs w:val="24"/>
              </w:rPr>
              <w:t>организовать тренировки и пробные соревнования.</w:t>
            </w:r>
          </w:p>
          <w:p w:rsidR="00B02EC5" w:rsidRDefault="00D71775" w:rsidP="00B02EC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02EC5">
              <w:rPr>
                <w:sz w:val="24"/>
                <w:szCs w:val="24"/>
              </w:rPr>
              <w:t xml:space="preserve">. Сформировать команды из числа </w:t>
            </w:r>
            <w:proofErr w:type="gramStart"/>
            <w:r w:rsidR="00B02EC5">
              <w:rPr>
                <w:sz w:val="24"/>
                <w:szCs w:val="24"/>
              </w:rPr>
              <w:t>обучившихся</w:t>
            </w:r>
            <w:proofErr w:type="gramEnd"/>
            <w:r w:rsidR="00B02EC5">
              <w:rPr>
                <w:sz w:val="24"/>
                <w:szCs w:val="24"/>
              </w:rPr>
              <w:t xml:space="preserve"> по программе.</w:t>
            </w:r>
          </w:p>
          <w:p w:rsidR="00F16295" w:rsidRPr="00183204" w:rsidRDefault="00D71775" w:rsidP="00B02EC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02EC5">
              <w:rPr>
                <w:sz w:val="24"/>
                <w:szCs w:val="24"/>
              </w:rPr>
              <w:t>. Организовать и провести командные соревнования по настольным играм среди пожилых людей.</w:t>
            </w:r>
          </w:p>
        </w:tc>
      </w:tr>
      <w:tr w:rsidR="00F16295" w:rsidRPr="00183204" w:rsidTr="00B54AB9">
        <w:tc>
          <w:tcPr>
            <w:tcW w:w="3936" w:type="dxa"/>
            <w:shd w:val="clear" w:color="auto" w:fill="auto"/>
          </w:tcPr>
          <w:p w:rsidR="00F16295" w:rsidRPr="00183204" w:rsidRDefault="000064D0" w:rsidP="00B005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Формы и методы </w:t>
            </w:r>
            <w:r w:rsidR="00F16295" w:rsidRPr="00183204">
              <w:rPr>
                <w:b/>
                <w:sz w:val="24"/>
                <w:szCs w:val="24"/>
              </w:rPr>
              <w:t>программы/проекта/технологии</w:t>
            </w:r>
          </w:p>
        </w:tc>
        <w:tc>
          <w:tcPr>
            <w:tcW w:w="5528" w:type="dxa"/>
            <w:shd w:val="clear" w:color="auto" w:fill="auto"/>
          </w:tcPr>
          <w:p w:rsidR="00B96FDD" w:rsidRDefault="00B96FDD" w:rsidP="00B96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«Серебряные игры - 2» реализуется с использование</w:t>
            </w:r>
            <w:r w:rsidR="00E1352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ресурсов БУ «Сургутский районный комплексный центр социального облуживания населения», </w:t>
            </w:r>
            <w:proofErr w:type="spellStart"/>
            <w:r w:rsidRPr="004E6194">
              <w:rPr>
                <w:sz w:val="24"/>
                <w:szCs w:val="24"/>
              </w:rPr>
              <w:t>грантовой</w:t>
            </w:r>
            <w:proofErr w:type="spellEnd"/>
            <w:r w:rsidRPr="004E6194">
              <w:rPr>
                <w:sz w:val="24"/>
                <w:szCs w:val="24"/>
              </w:rPr>
              <w:t xml:space="preserve"> поддержки  социального проекта «Командные соревнования по настольным играм «Серебряные игры»-приобретение</w:t>
            </w:r>
            <w:r w:rsidRPr="00B96FDD">
              <w:rPr>
                <w:sz w:val="24"/>
                <w:szCs w:val="24"/>
              </w:rPr>
              <w:t xml:space="preserve"> настольных игр</w:t>
            </w:r>
            <w:r>
              <w:rPr>
                <w:b/>
                <w:sz w:val="24"/>
                <w:szCs w:val="24"/>
              </w:rPr>
              <w:t xml:space="preserve">,  </w:t>
            </w:r>
            <w:r w:rsidRPr="00B96FDD">
              <w:rPr>
                <w:sz w:val="24"/>
                <w:szCs w:val="24"/>
              </w:rPr>
              <w:t>и социальных партнеров проекта</w:t>
            </w:r>
            <w:r>
              <w:rPr>
                <w:sz w:val="24"/>
                <w:szCs w:val="24"/>
              </w:rPr>
              <w:t>.</w:t>
            </w:r>
            <w:r w:rsidR="00865B7A">
              <w:rPr>
                <w:sz w:val="24"/>
                <w:szCs w:val="24"/>
              </w:rPr>
              <w:t xml:space="preserve"> К реализации проекта привлечены волонтеры Серебряного возраста. Рабочие группы волонтеров действуют под руководством координаторов проекта – специалистов учреждения. </w:t>
            </w:r>
          </w:p>
          <w:p w:rsidR="003A3821" w:rsidRDefault="00640C87" w:rsidP="00B96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подготовительном этапе реализации проекта специалистами учреждения через интернет ресурсы проводится информационная кампания по оповещению пожилых людей Сургутского района о наборе для участия в проекте</w:t>
            </w:r>
            <w:r w:rsidR="003A3821">
              <w:rPr>
                <w:sz w:val="24"/>
                <w:szCs w:val="24"/>
              </w:rPr>
              <w:t xml:space="preserve"> «Серебряные игры</w:t>
            </w:r>
            <w:r w:rsidR="00E13520">
              <w:rPr>
                <w:sz w:val="24"/>
                <w:szCs w:val="24"/>
              </w:rPr>
              <w:t>-2</w:t>
            </w:r>
            <w:r w:rsidR="003A3821">
              <w:rPr>
                <w:sz w:val="24"/>
                <w:szCs w:val="24"/>
              </w:rPr>
              <w:t>». Волонтерами Серебряного возраста распространяются листовки о проекте «Серебряные игры: для тебя, для меня, для нас!»</w:t>
            </w:r>
          </w:p>
          <w:p w:rsidR="00640C87" w:rsidRDefault="003A3821" w:rsidP="00B96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заявившихся участников специалистами учреждения, волонтерами Серебряного возраста проводятся установочные собрания, на которых подробно рассказывается о проекте. </w:t>
            </w:r>
          </w:p>
          <w:p w:rsidR="003A3821" w:rsidRDefault="003A3821" w:rsidP="00B96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на обучение  и участие проводится на заявительной основе, обучение и участие в соревнованиях – </w:t>
            </w:r>
            <w:r w:rsidRPr="00D71775">
              <w:rPr>
                <w:sz w:val="24"/>
                <w:szCs w:val="24"/>
              </w:rPr>
              <w:t>бесплатное</w:t>
            </w:r>
            <w:r w:rsidR="00D71775">
              <w:rPr>
                <w:sz w:val="24"/>
                <w:szCs w:val="24"/>
              </w:rPr>
              <w:t>.</w:t>
            </w:r>
          </w:p>
          <w:p w:rsidR="00D71775" w:rsidRDefault="00D71775" w:rsidP="00B96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участии волонтеров Серебряного возраста проводятся обучающие теоретические и практические ме</w:t>
            </w:r>
            <w:r w:rsidR="009A78AC">
              <w:rPr>
                <w:sz w:val="24"/>
                <w:szCs w:val="24"/>
              </w:rPr>
              <w:t>роприятия, тренировки, пробные</w:t>
            </w:r>
            <w:r>
              <w:rPr>
                <w:sz w:val="24"/>
                <w:szCs w:val="24"/>
              </w:rPr>
              <w:t xml:space="preserve">, а затем командные </w:t>
            </w:r>
            <w:r w:rsidRPr="00D71775">
              <w:rPr>
                <w:sz w:val="24"/>
                <w:szCs w:val="24"/>
              </w:rPr>
              <w:t>соревно</w:t>
            </w:r>
            <w:r>
              <w:rPr>
                <w:sz w:val="24"/>
                <w:szCs w:val="24"/>
              </w:rPr>
              <w:t>ван</w:t>
            </w:r>
            <w:r w:rsidRPr="00D71775">
              <w:rPr>
                <w:sz w:val="24"/>
                <w:szCs w:val="24"/>
              </w:rPr>
              <w:t>ия</w:t>
            </w:r>
            <w:r>
              <w:rPr>
                <w:sz w:val="24"/>
                <w:szCs w:val="24"/>
              </w:rPr>
              <w:t xml:space="preserve">  по тематическим направлениям: </w:t>
            </w:r>
          </w:p>
          <w:p w:rsidR="00D71775" w:rsidRPr="00D71775" w:rsidRDefault="00D71775" w:rsidP="00D71775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775">
              <w:rPr>
                <w:rFonts w:ascii="Times New Roman" w:hAnsi="Times New Roman"/>
                <w:sz w:val="24"/>
                <w:szCs w:val="24"/>
              </w:rPr>
              <w:t>Спортивные настольные игры</w:t>
            </w:r>
          </w:p>
          <w:p w:rsidR="003A3821" w:rsidRPr="00D71775" w:rsidRDefault="00D71775" w:rsidP="00D71775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775">
              <w:rPr>
                <w:rFonts w:ascii="Times New Roman" w:hAnsi="Times New Roman"/>
                <w:sz w:val="24"/>
                <w:szCs w:val="24"/>
              </w:rPr>
              <w:lastRenderedPageBreak/>
              <w:t>Интеллектуальные настольные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      </w:t>
            </w:r>
            <w:r w:rsidR="003A3821" w:rsidRPr="00D71775">
              <w:rPr>
                <w:rFonts w:ascii="Times New Roman" w:hAnsi="Times New Roman"/>
                <w:sz w:val="24"/>
                <w:szCs w:val="24"/>
              </w:rPr>
              <w:t>По итогам обучение формируются команды участников, назначаются ответственные волонтеры Серебряного возраста за дальнейшую работу с командами.</w:t>
            </w:r>
          </w:p>
          <w:p w:rsidR="00D71775" w:rsidRDefault="003A3821" w:rsidP="00D71775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Далее проводятся командные соревнования по настольным играм. Ход соревнований освещается  в официальных группах </w:t>
            </w:r>
            <w:r w:rsidR="00D71775">
              <w:rPr>
                <w:sz w:val="24"/>
                <w:szCs w:val="24"/>
              </w:rPr>
              <w:t xml:space="preserve">в социальных </w:t>
            </w:r>
            <w:proofErr w:type="spellStart"/>
            <w:r w:rsidR="00D71775">
              <w:rPr>
                <w:sz w:val="24"/>
                <w:szCs w:val="24"/>
              </w:rPr>
              <w:t>сетях</w:t>
            </w:r>
            <w:r w:rsidR="00D71775" w:rsidRPr="00000552">
              <w:rPr>
                <w:rFonts w:eastAsiaTheme="minorEastAsia"/>
                <w:sz w:val="24"/>
                <w:szCs w:val="24"/>
              </w:rPr>
              <w:t>«Вконтакте</w:t>
            </w:r>
            <w:proofErr w:type="spellEnd"/>
            <w:r w:rsidR="00D71775" w:rsidRPr="00000552">
              <w:rPr>
                <w:rFonts w:eastAsiaTheme="minorEastAsia"/>
                <w:sz w:val="24"/>
                <w:szCs w:val="24"/>
              </w:rPr>
              <w:t>», «</w:t>
            </w:r>
            <w:proofErr w:type="spellStart"/>
            <w:r w:rsidR="00D71775" w:rsidRPr="00000552">
              <w:rPr>
                <w:rFonts w:eastAsiaTheme="minorEastAsia"/>
                <w:sz w:val="24"/>
                <w:szCs w:val="24"/>
              </w:rPr>
              <w:t>Одноклассинки</w:t>
            </w:r>
            <w:proofErr w:type="spellEnd"/>
            <w:r w:rsidR="00D71775" w:rsidRPr="00000552">
              <w:rPr>
                <w:rFonts w:eastAsiaTheme="minorEastAsia"/>
                <w:sz w:val="24"/>
                <w:szCs w:val="24"/>
              </w:rPr>
              <w:t xml:space="preserve">», </w:t>
            </w:r>
            <w:proofErr w:type="spellStart"/>
            <w:r w:rsidR="00D71775" w:rsidRPr="00000552">
              <w:rPr>
                <w:rFonts w:eastAsiaTheme="minorEastAsia"/>
                <w:sz w:val="24"/>
                <w:szCs w:val="24"/>
              </w:rPr>
              <w:t>Инстаграмм</w:t>
            </w:r>
            <w:proofErr w:type="spellEnd"/>
            <w:r w:rsidR="00BA5573">
              <w:rPr>
                <w:rFonts w:eastAsiaTheme="minorEastAsia"/>
                <w:sz w:val="24"/>
                <w:szCs w:val="24"/>
              </w:rPr>
              <w:t xml:space="preserve">, </w:t>
            </w:r>
            <w:r w:rsidR="00BA5573" w:rsidRPr="00E13520">
              <w:rPr>
                <w:rFonts w:eastAsiaTheme="minorEastAsia"/>
                <w:sz w:val="24"/>
                <w:szCs w:val="24"/>
              </w:rPr>
              <w:t xml:space="preserve">в мобильных приложениях </w:t>
            </w:r>
            <w:proofErr w:type="spellStart"/>
            <w:r w:rsidR="00BA5573" w:rsidRPr="00E13520">
              <w:rPr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="00BA5573" w:rsidRPr="00E13520"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A5573" w:rsidRPr="00E13520">
              <w:rPr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="00D71775" w:rsidRPr="00000552">
              <w:rPr>
                <w:rFonts w:eastAsiaTheme="minorEastAsia"/>
                <w:sz w:val="24"/>
                <w:szCs w:val="24"/>
              </w:rPr>
              <w:t>.</w:t>
            </w:r>
          </w:p>
          <w:p w:rsidR="00D71775" w:rsidRDefault="00D71775" w:rsidP="00D71775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Награждение команд проходит в день проведения соревнования, по его результатам.</w:t>
            </w:r>
          </w:p>
          <w:p w:rsidR="00F16295" w:rsidRPr="00D71775" w:rsidRDefault="00D71775" w:rsidP="00D71775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На заключительном этапе подводятся итоги: дается оценка результатов. </w:t>
            </w:r>
          </w:p>
        </w:tc>
      </w:tr>
      <w:tr w:rsidR="00F16295" w:rsidRPr="00183204" w:rsidTr="00B54AB9">
        <w:tc>
          <w:tcPr>
            <w:tcW w:w="3936" w:type="dxa"/>
            <w:shd w:val="clear" w:color="auto" w:fill="auto"/>
          </w:tcPr>
          <w:p w:rsidR="00F16295" w:rsidRPr="00183204" w:rsidRDefault="00A8579A" w:rsidP="00027F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Этапы</w:t>
            </w:r>
            <w:r w:rsidR="00F16295" w:rsidRPr="00183204">
              <w:rPr>
                <w:b/>
                <w:sz w:val="24"/>
                <w:szCs w:val="24"/>
              </w:rPr>
              <w:t xml:space="preserve"> реализации программы/проекта/технологии</w:t>
            </w:r>
          </w:p>
          <w:p w:rsidR="00F16295" w:rsidRPr="00183204" w:rsidRDefault="00F16295" w:rsidP="00027F33">
            <w:pPr>
              <w:rPr>
                <w:sz w:val="24"/>
                <w:szCs w:val="24"/>
              </w:rPr>
            </w:pPr>
            <w:r w:rsidRPr="00183204">
              <w:rPr>
                <w:sz w:val="24"/>
                <w:szCs w:val="24"/>
              </w:rPr>
              <w:t>(аннотация направлений деятельности и содержания)</w:t>
            </w:r>
          </w:p>
        </w:tc>
        <w:tc>
          <w:tcPr>
            <w:tcW w:w="5528" w:type="dxa"/>
            <w:shd w:val="clear" w:color="auto" w:fill="auto"/>
          </w:tcPr>
          <w:p w:rsidR="000064D0" w:rsidRPr="004E6194" w:rsidRDefault="000064D0" w:rsidP="000064D0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4E6194">
              <w:rPr>
                <w:rFonts w:eastAsiaTheme="minorEastAsia"/>
                <w:sz w:val="24"/>
                <w:szCs w:val="24"/>
              </w:rPr>
              <w:t xml:space="preserve">Проект  рассчитан на </w:t>
            </w:r>
            <w:r w:rsidR="00BA5573" w:rsidRPr="004E6194">
              <w:rPr>
                <w:rFonts w:eastAsiaTheme="minorEastAsia"/>
                <w:sz w:val="24"/>
                <w:szCs w:val="24"/>
              </w:rPr>
              <w:t>4</w:t>
            </w:r>
            <w:r w:rsidRPr="004E6194">
              <w:rPr>
                <w:rFonts w:eastAsiaTheme="minorEastAsia"/>
                <w:sz w:val="24"/>
                <w:szCs w:val="24"/>
              </w:rPr>
              <w:t xml:space="preserve"> месяца </w:t>
            </w:r>
          </w:p>
          <w:p w:rsidR="000064D0" w:rsidRPr="00183204" w:rsidRDefault="000064D0" w:rsidP="000064D0">
            <w:pPr>
              <w:jc w:val="both"/>
              <w:rPr>
                <w:sz w:val="24"/>
                <w:szCs w:val="24"/>
              </w:rPr>
            </w:pPr>
            <w:r w:rsidRPr="004E6194">
              <w:rPr>
                <w:sz w:val="24"/>
                <w:szCs w:val="24"/>
              </w:rPr>
              <w:t>Включает следующие этапы:</w:t>
            </w:r>
          </w:p>
          <w:p w:rsidR="000064D0" w:rsidRPr="00000552" w:rsidRDefault="000064D0" w:rsidP="000064D0">
            <w:pPr>
              <w:tabs>
                <w:tab w:val="left" w:pos="900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1.</w:t>
            </w:r>
            <w:r w:rsidRPr="00000552">
              <w:rPr>
                <w:rFonts w:eastAsiaTheme="minorEastAsia"/>
                <w:b/>
                <w:sz w:val="24"/>
                <w:szCs w:val="24"/>
              </w:rPr>
              <w:t>Организационный этап (</w:t>
            </w:r>
            <w:r>
              <w:rPr>
                <w:rFonts w:eastAsiaTheme="minorEastAsia"/>
                <w:b/>
                <w:sz w:val="24"/>
                <w:szCs w:val="24"/>
              </w:rPr>
              <w:t>1 месяц</w:t>
            </w:r>
            <w:r w:rsidRPr="00000552">
              <w:rPr>
                <w:rFonts w:eastAsiaTheme="minorEastAsia"/>
                <w:b/>
                <w:sz w:val="24"/>
                <w:szCs w:val="24"/>
              </w:rPr>
              <w:t>) –</w:t>
            </w:r>
          </w:p>
          <w:p w:rsidR="000064D0" w:rsidRDefault="000064D0" w:rsidP="000064D0">
            <w:pPr>
              <w:tabs>
                <w:tab w:val="left" w:pos="900"/>
              </w:tabs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  <w:r w:rsidRPr="00000552">
              <w:rPr>
                <w:rFonts w:eastAsiaTheme="minorEastAsia"/>
                <w:sz w:val="24"/>
                <w:szCs w:val="24"/>
              </w:rPr>
              <w:t xml:space="preserve"> проведение </w:t>
            </w:r>
            <w:proofErr w:type="gramStart"/>
            <w:r w:rsidRPr="00000552">
              <w:rPr>
                <w:rFonts w:eastAsiaTheme="minorEastAsia"/>
                <w:sz w:val="24"/>
                <w:szCs w:val="24"/>
              </w:rPr>
              <w:t>информационной</w:t>
            </w:r>
            <w:proofErr w:type="gramEnd"/>
            <w:r w:rsidRPr="00000552">
              <w:rPr>
                <w:rFonts w:eastAsiaTheme="minorEastAsia"/>
                <w:sz w:val="24"/>
                <w:szCs w:val="24"/>
              </w:rPr>
              <w:t xml:space="preserve"> капании по привлечению граждан пожилого возраста Сургутского района к участию проекта.  Для информирования используются: официальный сайт учреждения, официальные группы в социальных сетях «</w:t>
            </w:r>
            <w:proofErr w:type="spellStart"/>
            <w:r w:rsidRPr="00000552">
              <w:rPr>
                <w:rFonts w:eastAsiaTheme="minorEastAsia"/>
                <w:sz w:val="24"/>
                <w:szCs w:val="24"/>
              </w:rPr>
              <w:t>Вконтакте</w:t>
            </w:r>
            <w:proofErr w:type="spellEnd"/>
            <w:r w:rsidRPr="00000552">
              <w:rPr>
                <w:rFonts w:eastAsiaTheme="minorEastAsia"/>
                <w:sz w:val="24"/>
                <w:szCs w:val="24"/>
              </w:rPr>
              <w:t>», «</w:t>
            </w:r>
            <w:proofErr w:type="spellStart"/>
            <w:r w:rsidRPr="00000552">
              <w:rPr>
                <w:rFonts w:eastAsiaTheme="minorEastAsia"/>
                <w:sz w:val="24"/>
                <w:szCs w:val="24"/>
              </w:rPr>
              <w:t>Одноклассинки</w:t>
            </w:r>
            <w:proofErr w:type="spellEnd"/>
            <w:r w:rsidRPr="00000552">
              <w:rPr>
                <w:rFonts w:eastAsiaTheme="minorEastAsia"/>
                <w:sz w:val="24"/>
                <w:szCs w:val="24"/>
              </w:rPr>
              <w:t xml:space="preserve">», </w:t>
            </w:r>
            <w:proofErr w:type="spellStart"/>
            <w:r w:rsidRPr="00000552">
              <w:rPr>
                <w:rFonts w:eastAsiaTheme="minorEastAsia"/>
                <w:sz w:val="24"/>
                <w:szCs w:val="24"/>
              </w:rPr>
              <w:t>Инстаграмм</w:t>
            </w:r>
            <w:proofErr w:type="spellEnd"/>
            <w:r w:rsidRPr="00000552">
              <w:rPr>
                <w:rFonts w:eastAsiaTheme="minorEastAsia"/>
                <w:sz w:val="24"/>
                <w:szCs w:val="24"/>
              </w:rPr>
              <w:t>. Силами волонтеров Серебряного возраста готовятся и распространяются  листовки о про</w:t>
            </w:r>
            <w:r>
              <w:rPr>
                <w:rFonts w:eastAsiaTheme="minorEastAsia"/>
                <w:sz w:val="24"/>
                <w:szCs w:val="24"/>
              </w:rPr>
              <w:t>екте;</w:t>
            </w:r>
          </w:p>
          <w:p w:rsidR="000064D0" w:rsidRPr="00000552" w:rsidRDefault="000064D0" w:rsidP="000064D0">
            <w:pPr>
              <w:tabs>
                <w:tab w:val="left" w:pos="900"/>
              </w:tabs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- проведение установочных собраний, формирование групп слушателей. Участники собрания знакомятся с волонтерами, которые будут сопровождать команды, мероприятиями, тематическим планом, видами настольных игр, связи настольных игр с народным фольклором, по которым будут проводиться соревнования. </w:t>
            </w:r>
          </w:p>
          <w:p w:rsidR="000064D0" w:rsidRDefault="000064D0" w:rsidP="000064D0">
            <w:pPr>
              <w:tabs>
                <w:tab w:val="left" w:pos="900"/>
              </w:tabs>
              <w:autoSpaceDE/>
              <w:autoSpaceDN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2.  </w:t>
            </w:r>
            <w:r w:rsidR="007A2902">
              <w:rPr>
                <w:rFonts w:eastAsiaTheme="minorEastAsia"/>
                <w:b/>
                <w:sz w:val="24"/>
                <w:szCs w:val="24"/>
              </w:rPr>
              <w:t>Этап реализации (4</w:t>
            </w:r>
            <w:r w:rsidRPr="004E6194">
              <w:rPr>
                <w:rFonts w:eastAsiaTheme="minorEastAsia"/>
                <w:b/>
                <w:sz w:val="24"/>
                <w:szCs w:val="24"/>
              </w:rPr>
              <w:t xml:space="preserve"> месяца) –</w:t>
            </w:r>
          </w:p>
          <w:p w:rsidR="000064D0" w:rsidRDefault="000064D0" w:rsidP="000064D0">
            <w:pPr>
              <w:tabs>
                <w:tab w:val="left" w:pos="900"/>
              </w:tabs>
              <w:autoSpaceDE/>
              <w:autoSpaceDN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- </w:t>
            </w:r>
            <w:r w:rsidRPr="00BB4A93">
              <w:rPr>
                <w:rFonts w:eastAsiaTheme="minorEastAsia"/>
                <w:sz w:val="24"/>
                <w:szCs w:val="24"/>
              </w:rPr>
              <w:t>проведение обучающих мероприятий</w:t>
            </w:r>
            <w:r>
              <w:rPr>
                <w:rFonts w:eastAsiaTheme="minorEastAsia"/>
                <w:sz w:val="24"/>
                <w:szCs w:val="24"/>
              </w:rPr>
              <w:t>: интерактивные лекции, практические занятия;</w:t>
            </w:r>
            <w:r w:rsidRPr="00BB4A93">
              <w:rPr>
                <w:rFonts w:eastAsiaTheme="minorEastAsia"/>
                <w:sz w:val="24"/>
                <w:szCs w:val="24"/>
              </w:rPr>
              <w:t xml:space="preserve"> тренировок и пробных соревнований</w:t>
            </w:r>
            <w:r>
              <w:rPr>
                <w:rFonts w:eastAsiaTheme="minorEastAsia"/>
                <w:sz w:val="24"/>
                <w:szCs w:val="24"/>
              </w:rPr>
              <w:t>;</w:t>
            </w:r>
          </w:p>
          <w:p w:rsidR="000064D0" w:rsidRDefault="000064D0" w:rsidP="000064D0">
            <w:pPr>
              <w:tabs>
                <w:tab w:val="left" w:pos="900"/>
              </w:tabs>
              <w:autoSpaceDE/>
              <w:autoSpaceDN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- ПРОВЕДЕНИЕ КОМАНДЫХ СОРЕВНОВАНИЙ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спортивные настольные игры:  бильярд – хоккей, «матрешки», эластик, спортивное домино; интеллектуальные настольные игры: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скрэббл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, шахматы, шашки,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алиас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, монополия)</w:t>
            </w:r>
          </w:p>
          <w:p w:rsidR="000064D0" w:rsidRDefault="000064D0" w:rsidP="000064D0">
            <w:pPr>
              <w:tabs>
                <w:tab w:val="left" w:pos="900"/>
              </w:tabs>
              <w:autoSpaceDE/>
              <w:autoSpaceDN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- награждение команд.</w:t>
            </w:r>
          </w:p>
          <w:p w:rsidR="000064D0" w:rsidRPr="00BB4A93" w:rsidRDefault="000064D0" w:rsidP="000064D0">
            <w:pPr>
              <w:tabs>
                <w:tab w:val="left" w:pos="900"/>
              </w:tabs>
              <w:autoSpaceDE/>
              <w:autoSpaceDN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 организации и проведении соревнований, фиксировании результатов задействованы волонтеры Серебряного возраста. </w:t>
            </w:r>
          </w:p>
          <w:p w:rsidR="000064D0" w:rsidRPr="00FC43B3" w:rsidRDefault="000064D0" w:rsidP="000064D0">
            <w:pPr>
              <w:tabs>
                <w:tab w:val="left" w:pos="900"/>
              </w:tabs>
              <w:autoSpaceDE/>
              <w:autoSpaceDN/>
              <w:spacing w:after="200"/>
              <w:contextualSpacing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3. </w:t>
            </w:r>
            <w:r w:rsidRPr="00FC43B3">
              <w:rPr>
                <w:rFonts w:eastAsiaTheme="minorEastAsia"/>
                <w:b/>
                <w:sz w:val="24"/>
                <w:szCs w:val="24"/>
              </w:rPr>
              <w:t xml:space="preserve">Заключительный этап </w:t>
            </w:r>
          </w:p>
          <w:p w:rsidR="00F16295" w:rsidRPr="00183204" w:rsidRDefault="000064D0" w:rsidP="000064D0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– оценка результатов по проекту – качественно – количественный анализ результатов</w:t>
            </w:r>
          </w:p>
        </w:tc>
      </w:tr>
      <w:tr w:rsidR="00A8579A" w:rsidRPr="00183204" w:rsidTr="00B54AB9">
        <w:tc>
          <w:tcPr>
            <w:tcW w:w="3936" w:type="dxa"/>
            <w:shd w:val="clear" w:color="auto" w:fill="auto"/>
          </w:tcPr>
          <w:p w:rsidR="00A8579A" w:rsidRPr="00183204" w:rsidRDefault="00A8579A" w:rsidP="00A8579A">
            <w:pPr>
              <w:jc w:val="both"/>
              <w:rPr>
                <w:b/>
                <w:sz w:val="24"/>
                <w:szCs w:val="24"/>
              </w:rPr>
            </w:pPr>
            <w:r w:rsidRPr="00183204">
              <w:rPr>
                <w:b/>
                <w:sz w:val="24"/>
                <w:szCs w:val="24"/>
              </w:rPr>
              <w:t>Ресурсы необходимые для реализации программы/проекта/технологии:</w:t>
            </w:r>
          </w:p>
          <w:p w:rsidR="00A8579A" w:rsidRPr="00183204" w:rsidRDefault="00A8579A" w:rsidP="00A8579A">
            <w:pPr>
              <w:jc w:val="both"/>
              <w:rPr>
                <w:sz w:val="24"/>
                <w:szCs w:val="24"/>
              </w:rPr>
            </w:pPr>
            <w:r w:rsidRPr="00183204">
              <w:rPr>
                <w:sz w:val="24"/>
                <w:szCs w:val="24"/>
              </w:rPr>
              <w:lastRenderedPageBreak/>
              <w:t>Кадровые;</w:t>
            </w:r>
          </w:p>
          <w:p w:rsidR="00A8579A" w:rsidRPr="00183204" w:rsidRDefault="00A8579A" w:rsidP="00A8579A">
            <w:pPr>
              <w:jc w:val="both"/>
              <w:rPr>
                <w:sz w:val="24"/>
                <w:szCs w:val="24"/>
              </w:rPr>
            </w:pPr>
            <w:r w:rsidRPr="00183204">
              <w:rPr>
                <w:sz w:val="24"/>
                <w:szCs w:val="24"/>
              </w:rPr>
              <w:t>Материально-технические;</w:t>
            </w:r>
          </w:p>
          <w:p w:rsidR="00A8579A" w:rsidRPr="00183204" w:rsidRDefault="00A8579A" w:rsidP="00A8579A">
            <w:pPr>
              <w:jc w:val="both"/>
              <w:rPr>
                <w:sz w:val="24"/>
                <w:szCs w:val="24"/>
              </w:rPr>
            </w:pPr>
            <w:r w:rsidRPr="00183204">
              <w:rPr>
                <w:sz w:val="24"/>
                <w:szCs w:val="24"/>
              </w:rPr>
              <w:t>Информационные;</w:t>
            </w:r>
          </w:p>
          <w:p w:rsidR="00A8579A" w:rsidRDefault="00A8579A" w:rsidP="00A8579A">
            <w:pPr>
              <w:rPr>
                <w:b/>
                <w:sz w:val="24"/>
                <w:szCs w:val="24"/>
              </w:rPr>
            </w:pPr>
            <w:r w:rsidRPr="00183204">
              <w:rPr>
                <w:sz w:val="24"/>
                <w:szCs w:val="24"/>
              </w:rPr>
              <w:t>Методические;</w:t>
            </w:r>
          </w:p>
        </w:tc>
        <w:tc>
          <w:tcPr>
            <w:tcW w:w="5528" w:type="dxa"/>
            <w:shd w:val="clear" w:color="auto" w:fill="auto"/>
          </w:tcPr>
          <w:p w:rsidR="00A8579A" w:rsidRPr="00183204" w:rsidRDefault="00A8579A" w:rsidP="00A8579A">
            <w:pPr>
              <w:jc w:val="both"/>
              <w:rPr>
                <w:b/>
                <w:sz w:val="24"/>
                <w:szCs w:val="24"/>
              </w:rPr>
            </w:pPr>
            <w:r w:rsidRPr="00183204">
              <w:rPr>
                <w:b/>
                <w:sz w:val="24"/>
                <w:szCs w:val="24"/>
              </w:rPr>
              <w:lastRenderedPageBreak/>
              <w:t>Кадровые  ресурсы:</w:t>
            </w:r>
          </w:p>
          <w:p w:rsidR="00A8579A" w:rsidRDefault="00A8579A" w:rsidP="00A857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проекте не участвуют привлеченные специалисты.</w:t>
            </w:r>
          </w:p>
          <w:p w:rsidR="00A8579A" w:rsidRDefault="00A8579A" w:rsidP="00A857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реализации проекта задействованы три группы волонтеров Серебряного возраста по 5 чел.  Все волонтеры прошли </w:t>
            </w:r>
            <w:proofErr w:type="gramStart"/>
            <w:r>
              <w:rPr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sz w:val="24"/>
                <w:szCs w:val="24"/>
              </w:rPr>
              <w:t xml:space="preserve"> «Университет третьего возраста», факультет «Серебряные волонтеры», реализуемой учреждением. </w:t>
            </w:r>
          </w:p>
          <w:p w:rsidR="00A8579A" w:rsidRPr="00183204" w:rsidRDefault="00A8579A" w:rsidP="00A857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Обязанности по проекту: участие в подготовке и проведении информационной кампании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психолого – педагогическое сопровождение участников соревнований, участие в тренировках и пробных соревнованиях, участие в решение организационных вопросов проведения соревнований, фиксирование результатов соревнований.   </w:t>
            </w:r>
          </w:p>
          <w:p w:rsidR="00A8579A" w:rsidRPr="00183204" w:rsidRDefault="00A8579A" w:rsidP="00A8579A">
            <w:pPr>
              <w:jc w:val="both"/>
              <w:rPr>
                <w:b/>
                <w:sz w:val="24"/>
                <w:szCs w:val="24"/>
              </w:rPr>
            </w:pPr>
            <w:r w:rsidRPr="00183204">
              <w:rPr>
                <w:b/>
                <w:sz w:val="24"/>
                <w:szCs w:val="24"/>
              </w:rPr>
              <w:t>Материально-технические  ресурсы:</w:t>
            </w:r>
          </w:p>
          <w:p w:rsidR="00A8579A" w:rsidRDefault="00A8579A" w:rsidP="00A85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реализации проекта будут задействованы помещения и оборудования учреждения:</w:t>
            </w:r>
          </w:p>
          <w:p w:rsidR="00A8579A" w:rsidRDefault="00A8579A" w:rsidP="00A85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Мебель: столы, стулья</w:t>
            </w:r>
          </w:p>
          <w:p w:rsidR="00A8579A" w:rsidRDefault="00A8579A" w:rsidP="00A85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Оргтехника: компьютеры в полной комплектации,  принтеры, копировальные аппараты.</w:t>
            </w:r>
          </w:p>
          <w:p w:rsidR="00A8579A" w:rsidRDefault="00A8579A" w:rsidP="00A85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Мультимедийное оборудование: экран, проектор</w:t>
            </w:r>
          </w:p>
          <w:p w:rsidR="00A8579A" w:rsidRPr="00E13520" w:rsidRDefault="00A8579A" w:rsidP="00A85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E13520">
              <w:rPr>
                <w:sz w:val="24"/>
                <w:szCs w:val="24"/>
              </w:rPr>
              <w:t>Расходные материалы: канцелярские и офисные принадлежности.</w:t>
            </w:r>
          </w:p>
          <w:p w:rsidR="00A8579A" w:rsidRDefault="00A8579A" w:rsidP="00A8579A">
            <w:pPr>
              <w:rPr>
                <w:sz w:val="24"/>
                <w:szCs w:val="24"/>
              </w:rPr>
            </w:pPr>
            <w:r w:rsidRPr="00E13520">
              <w:rPr>
                <w:sz w:val="24"/>
                <w:szCs w:val="24"/>
              </w:rPr>
              <w:t xml:space="preserve"> - спортивный зал организации – партнера «Федоровский спортивно – оздоровительный центр»</w:t>
            </w:r>
          </w:p>
          <w:p w:rsidR="00A8579A" w:rsidRPr="00E13520" w:rsidRDefault="00A8579A" w:rsidP="00A8579A">
            <w:pPr>
              <w:rPr>
                <w:b/>
                <w:sz w:val="24"/>
                <w:szCs w:val="24"/>
              </w:rPr>
            </w:pPr>
            <w:r w:rsidRPr="00E13520">
              <w:rPr>
                <w:b/>
                <w:i/>
                <w:sz w:val="24"/>
                <w:szCs w:val="24"/>
              </w:rPr>
              <w:t>Настольные игры</w:t>
            </w:r>
            <w:r w:rsidRPr="00E13520">
              <w:rPr>
                <w:sz w:val="24"/>
                <w:szCs w:val="24"/>
              </w:rPr>
              <w:t xml:space="preserve">, приобретенные на средства </w:t>
            </w:r>
            <w:proofErr w:type="spellStart"/>
            <w:r w:rsidRPr="00E13520">
              <w:rPr>
                <w:sz w:val="24"/>
                <w:szCs w:val="24"/>
              </w:rPr>
              <w:t>грантового</w:t>
            </w:r>
            <w:proofErr w:type="spellEnd"/>
            <w:r w:rsidRPr="00E13520">
              <w:rPr>
                <w:sz w:val="24"/>
                <w:szCs w:val="24"/>
              </w:rPr>
              <w:t xml:space="preserve"> социального проекта </w:t>
            </w:r>
            <w:r w:rsidRPr="00E13520">
              <w:rPr>
                <w:b/>
                <w:sz w:val="24"/>
                <w:szCs w:val="24"/>
              </w:rPr>
              <w:t>«Командные соревнования по настольным играм «Серебряные игры»</w:t>
            </w:r>
          </w:p>
          <w:p w:rsidR="00A8579A" w:rsidRPr="004438CF" w:rsidRDefault="00A8579A" w:rsidP="00A8579A">
            <w:pPr>
              <w:rPr>
                <w:b/>
                <w:iCs/>
                <w:sz w:val="24"/>
                <w:szCs w:val="24"/>
              </w:rPr>
            </w:pPr>
            <w:r w:rsidRPr="00E13520">
              <w:rPr>
                <w:sz w:val="24"/>
                <w:szCs w:val="24"/>
              </w:rPr>
              <w:t xml:space="preserve"> ( автор – И.А. Владимирова методист)</w:t>
            </w:r>
          </w:p>
          <w:p w:rsidR="00A8579A" w:rsidRPr="00183204" w:rsidRDefault="00A8579A" w:rsidP="00A8579A">
            <w:pPr>
              <w:jc w:val="both"/>
              <w:rPr>
                <w:b/>
                <w:sz w:val="24"/>
                <w:szCs w:val="24"/>
              </w:rPr>
            </w:pPr>
            <w:r w:rsidRPr="00183204">
              <w:rPr>
                <w:b/>
                <w:sz w:val="24"/>
                <w:szCs w:val="24"/>
              </w:rPr>
              <w:t>Информационные ресурсы:</w:t>
            </w:r>
          </w:p>
          <w:p w:rsidR="00A8579A" w:rsidRDefault="00A8579A" w:rsidP="00A8579A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- </w:t>
            </w:r>
            <w:r w:rsidRPr="00000552">
              <w:rPr>
                <w:rFonts w:eastAsiaTheme="minorEastAsia"/>
                <w:sz w:val="24"/>
                <w:szCs w:val="24"/>
              </w:rPr>
              <w:t xml:space="preserve">официальный сайт учреждения, </w:t>
            </w:r>
          </w:p>
          <w:p w:rsidR="00A8579A" w:rsidRDefault="00A8579A" w:rsidP="00A8579A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официальныя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группа</w:t>
            </w:r>
            <w:r w:rsidRPr="00000552">
              <w:rPr>
                <w:rFonts w:eastAsiaTheme="minorEastAsia"/>
                <w:sz w:val="24"/>
                <w:szCs w:val="24"/>
              </w:rPr>
              <w:t xml:space="preserve"> в социальных сетях «</w:t>
            </w:r>
            <w:proofErr w:type="spellStart"/>
            <w:r w:rsidRPr="00000552">
              <w:rPr>
                <w:rFonts w:eastAsiaTheme="minorEastAsia"/>
                <w:sz w:val="24"/>
                <w:szCs w:val="24"/>
              </w:rPr>
              <w:t>Вконтакте</w:t>
            </w:r>
            <w:proofErr w:type="spellEnd"/>
            <w:r w:rsidRPr="00000552">
              <w:rPr>
                <w:rFonts w:eastAsiaTheme="minorEastAsia"/>
                <w:sz w:val="24"/>
                <w:szCs w:val="24"/>
              </w:rPr>
              <w:t>»,</w:t>
            </w:r>
          </w:p>
          <w:p w:rsidR="00A8579A" w:rsidRDefault="00A8579A" w:rsidP="00A8579A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официальныя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группа</w:t>
            </w:r>
            <w:r w:rsidRPr="00000552">
              <w:rPr>
                <w:rFonts w:eastAsiaTheme="minorEastAsia"/>
                <w:sz w:val="24"/>
                <w:szCs w:val="24"/>
              </w:rPr>
              <w:t xml:space="preserve"> в социальных сетях «</w:t>
            </w:r>
            <w:proofErr w:type="spellStart"/>
            <w:r w:rsidRPr="00000552">
              <w:rPr>
                <w:rFonts w:eastAsiaTheme="minorEastAsia"/>
                <w:sz w:val="24"/>
                <w:szCs w:val="24"/>
              </w:rPr>
              <w:t>Одноклассинки</w:t>
            </w:r>
            <w:proofErr w:type="spellEnd"/>
            <w:r w:rsidRPr="00000552">
              <w:rPr>
                <w:rFonts w:eastAsiaTheme="minorEastAsia"/>
                <w:sz w:val="24"/>
                <w:szCs w:val="24"/>
              </w:rPr>
              <w:t xml:space="preserve">», </w:t>
            </w:r>
          </w:p>
          <w:p w:rsidR="00A8579A" w:rsidRDefault="00A8579A" w:rsidP="00E13520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официальныя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группа</w:t>
            </w:r>
            <w:r w:rsidRPr="00000552">
              <w:rPr>
                <w:rFonts w:eastAsiaTheme="minorEastAsia"/>
                <w:sz w:val="24"/>
                <w:szCs w:val="24"/>
              </w:rPr>
              <w:t xml:space="preserve"> в социальных сетях </w:t>
            </w:r>
            <w:proofErr w:type="spellStart"/>
            <w:r w:rsidRPr="00000552">
              <w:rPr>
                <w:rFonts w:eastAsiaTheme="minorEastAsia"/>
                <w:sz w:val="24"/>
                <w:szCs w:val="24"/>
              </w:rPr>
              <w:t>Инст</w:t>
            </w:r>
            <w:r w:rsidR="00E13520">
              <w:rPr>
                <w:rFonts w:eastAsiaTheme="minorEastAsia"/>
                <w:sz w:val="24"/>
                <w:szCs w:val="24"/>
              </w:rPr>
              <w:t>аграмм</w:t>
            </w:r>
            <w:proofErr w:type="spellEnd"/>
          </w:p>
          <w:p w:rsidR="00E13520" w:rsidRPr="00E13520" w:rsidRDefault="00E13520" w:rsidP="00E13520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13520">
              <w:rPr>
                <w:rFonts w:eastAsiaTheme="minorEastAsia"/>
                <w:sz w:val="24"/>
                <w:szCs w:val="24"/>
              </w:rPr>
              <w:t xml:space="preserve">-  в мобильных приложениях </w:t>
            </w:r>
            <w:proofErr w:type="spellStart"/>
            <w:r w:rsidRPr="00E13520">
              <w:rPr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E13520"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13520">
              <w:rPr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E13520" w:rsidRDefault="00E13520" w:rsidP="00E13520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A8579A" w:rsidRPr="00183204" w:rsidTr="00B54AB9">
        <w:tc>
          <w:tcPr>
            <w:tcW w:w="3936" w:type="dxa"/>
            <w:shd w:val="clear" w:color="auto" w:fill="auto"/>
          </w:tcPr>
          <w:p w:rsidR="00A8579A" w:rsidRPr="00183204" w:rsidRDefault="00A8579A" w:rsidP="00B54AB9">
            <w:pPr>
              <w:rPr>
                <w:b/>
                <w:sz w:val="24"/>
                <w:szCs w:val="24"/>
              </w:rPr>
            </w:pPr>
            <w:r w:rsidRPr="00183204">
              <w:rPr>
                <w:b/>
                <w:sz w:val="24"/>
                <w:szCs w:val="24"/>
              </w:rPr>
              <w:lastRenderedPageBreak/>
              <w:t>Межведомственное взаимодействие и социальное партнерство в  рамках реализации программы/проекта/технологии</w:t>
            </w:r>
          </w:p>
        </w:tc>
        <w:tc>
          <w:tcPr>
            <w:tcW w:w="5528" w:type="dxa"/>
            <w:shd w:val="clear" w:color="auto" w:fill="auto"/>
          </w:tcPr>
          <w:p w:rsidR="00A8579A" w:rsidRPr="00183204" w:rsidRDefault="00A8579A" w:rsidP="00B54AB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реализации проекта </w:t>
            </w:r>
            <w:r w:rsidRPr="00183204">
              <w:rPr>
                <w:sz w:val="24"/>
                <w:szCs w:val="24"/>
              </w:rPr>
              <w:t xml:space="preserve">осуществляется  межведомственное взаимодействие с </w:t>
            </w:r>
            <w:r>
              <w:rPr>
                <w:sz w:val="24"/>
                <w:szCs w:val="24"/>
              </w:rPr>
              <w:t>Муниципальным автономным учреждением «Федоровский  спортивно – оздоровительный центр»</w:t>
            </w:r>
          </w:p>
        </w:tc>
      </w:tr>
      <w:tr w:rsidR="00F16295" w:rsidRPr="00183204" w:rsidTr="00B54AB9">
        <w:tc>
          <w:tcPr>
            <w:tcW w:w="3936" w:type="dxa"/>
            <w:shd w:val="clear" w:color="auto" w:fill="auto"/>
          </w:tcPr>
          <w:p w:rsidR="00F16295" w:rsidRPr="00183204" w:rsidRDefault="00F16295" w:rsidP="00027F33">
            <w:pPr>
              <w:rPr>
                <w:b/>
                <w:sz w:val="24"/>
                <w:szCs w:val="24"/>
              </w:rPr>
            </w:pPr>
            <w:r w:rsidRPr="00183204">
              <w:rPr>
                <w:b/>
                <w:sz w:val="24"/>
                <w:szCs w:val="24"/>
              </w:rPr>
              <w:t>Ожидаемые результаты  реализации программы/проекта/технологии</w:t>
            </w:r>
          </w:p>
        </w:tc>
        <w:tc>
          <w:tcPr>
            <w:tcW w:w="5528" w:type="dxa"/>
            <w:shd w:val="clear" w:color="auto" w:fill="auto"/>
          </w:tcPr>
          <w:p w:rsidR="00F16295" w:rsidRPr="00BA5573" w:rsidRDefault="007F6929" w:rsidP="007F6929">
            <w:pPr>
              <w:jc w:val="both"/>
              <w:rPr>
                <w:i/>
                <w:sz w:val="24"/>
                <w:szCs w:val="24"/>
              </w:rPr>
            </w:pPr>
            <w:r w:rsidRPr="007F6929">
              <w:rPr>
                <w:i/>
                <w:sz w:val="24"/>
                <w:szCs w:val="24"/>
              </w:rPr>
              <w:t>1.</w:t>
            </w:r>
            <w:r w:rsidR="006500B6" w:rsidRPr="00BA5573">
              <w:rPr>
                <w:i/>
                <w:sz w:val="24"/>
                <w:szCs w:val="24"/>
              </w:rPr>
              <w:t>Количественные результаты по проекту</w:t>
            </w:r>
          </w:p>
          <w:p w:rsidR="006500B6" w:rsidRPr="00BA5573" w:rsidRDefault="007F6929" w:rsidP="007F6929">
            <w:pPr>
              <w:jc w:val="both"/>
              <w:rPr>
                <w:sz w:val="24"/>
                <w:szCs w:val="24"/>
              </w:rPr>
            </w:pPr>
            <w:r w:rsidRPr="00BA5573">
              <w:rPr>
                <w:sz w:val="24"/>
                <w:szCs w:val="24"/>
              </w:rPr>
              <w:t>1.1.</w:t>
            </w:r>
            <w:r w:rsidR="006500B6" w:rsidRPr="00BA5573">
              <w:rPr>
                <w:sz w:val="24"/>
                <w:szCs w:val="24"/>
              </w:rPr>
              <w:t>Количество по</w:t>
            </w:r>
            <w:r w:rsidR="00BA5573">
              <w:rPr>
                <w:sz w:val="24"/>
                <w:szCs w:val="24"/>
              </w:rPr>
              <w:t xml:space="preserve">жилых людей, проживающих в </w:t>
            </w:r>
            <w:r w:rsidR="006500B6" w:rsidRPr="00BA5573">
              <w:rPr>
                <w:sz w:val="24"/>
                <w:szCs w:val="24"/>
              </w:rPr>
              <w:t xml:space="preserve">г.п. Федоровский, Сургутского района, охваченных информационной кампанией  - </w:t>
            </w:r>
            <w:r w:rsidR="00BA5573">
              <w:rPr>
                <w:sz w:val="24"/>
                <w:szCs w:val="24"/>
              </w:rPr>
              <w:t>130</w:t>
            </w:r>
            <w:r w:rsidR="006500B6" w:rsidRPr="00BA5573">
              <w:rPr>
                <w:sz w:val="24"/>
                <w:szCs w:val="24"/>
              </w:rPr>
              <w:t xml:space="preserve"> человек</w:t>
            </w:r>
          </w:p>
          <w:p w:rsidR="006500B6" w:rsidRPr="00BA5573" w:rsidRDefault="007F6929" w:rsidP="007F6929">
            <w:pPr>
              <w:jc w:val="both"/>
              <w:rPr>
                <w:sz w:val="24"/>
                <w:szCs w:val="24"/>
              </w:rPr>
            </w:pPr>
            <w:r w:rsidRPr="00BA5573">
              <w:rPr>
                <w:sz w:val="24"/>
                <w:szCs w:val="24"/>
              </w:rPr>
              <w:t>1.2.</w:t>
            </w:r>
            <w:r w:rsidR="006500B6" w:rsidRPr="00BA5573">
              <w:rPr>
                <w:sz w:val="24"/>
                <w:szCs w:val="24"/>
              </w:rPr>
              <w:t xml:space="preserve">Количество распространенных </w:t>
            </w:r>
            <w:r w:rsidR="006500B6" w:rsidRPr="00BA5573">
              <w:rPr>
                <w:sz w:val="24"/>
                <w:szCs w:val="24"/>
              </w:rPr>
              <w:lastRenderedPageBreak/>
              <w:t>информационных листовок о пр</w:t>
            </w:r>
            <w:r w:rsidR="00A924F4" w:rsidRPr="00BA5573">
              <w:rPr>
                <w:sz w:val="24"/>
                <w:szCs w:val="24"/>
              </w:rPr>
              <w:t>о</w:t>
            </w:r>
            <w:r w:rsidR="006500B6" w:rsidRPr="00BA5573">
              <w:rPr>
                <w:sz w:val="24"/>
                <w:szCs w:val="24"/>
              </w:rPr>
              <w:t xml:space="preserve">екте «Серебряные игры: для тебя, для меня, для нас!» - </w:t>
            </w:r>
            <w:r w:rsidR="00BA5573">
              <w:rPr>
                <w:sz w:val="24"/>
                <w:szCs w:val="24"/>
              </w:rPr>
              <w:t>130</w:t>
            </w:r>
            <w:r w:rsidR="006500B6" w:rsidRPr="00BA5573">
              <w:rPr>
                <w:sz w:val="24"/>
                <w:szCs w:val="24"/>
              </w:rPr>
              <w:t xml:space="preserve"> шт</w:t>
            </w:r>
            <w:r w:rsidR="00A924F4" w:rsidRPr="00BA5573">
              <w:rPr>
                <w:sz w:val="24"/>
                <w:szCs w:val="24"/>
              </w:rPr>
              <w:t>.</w:t>
            </w:r>
          </w:p>
          <w:p w:rsidR="006500B6" w:rsidRPr="00BA5573" w:rsidRDefault="007F6929" w:rsidP="007F6929">
            <w:pPr>
              <w:jc w:val="both"/>
              <w:rPr>
                <w:sz w:val="24"/>
                <w:szCs w:val="24"/>
              </w:rPr>
            </w:pPr>
            <w:r w:rsidRPr="00BA5573">
              <w:rPr>
                <w:sz w:val="24"/>
                <w:szCs w:val="24"/>
              </w:rPr>
              <w:t>1.3.</w:t>
            </w:r>
            <w:r w:rsidR="00A924F4" w:rsidRPr="00BA5573">
              <w:rPr>
                <w:sz w:val="24"/>
                <w:szCs w:val="24"/>
              </w:rPr>
              <w:t xml:space="preserve">Организация и проведение 3 установочных собраний для </w:t>
            </w:r>
            <w:r w:rsidR="00BA5573">
              <w:rPr>
                <w:sz w:val="24"/>
                <w:szCs w:val="24"/>
              </w:rPr>
              <w:t>30</w:t>
            </w:r>
            <w:r w:rsidR="00A924F4" w:rsidRPr="00BA5573">
              <w:rPr>
                <w:sz w:val="24"/>
                <w:szCs w:val="24"/>
              </w:rPr>
              <w:t xml:space="preserve"> слушателей.</w:t>
            </w:r>
          </w:p>
          <w:p w:rsidR="00A924F4" w:rsidRPr="00BA5573" w:rsidRDefault="007F6929" w:rsidP="007F6929">
            <w:pPr>
              <w:jc w:val="both"/>
              <w:rPr>
                <w:sz w:val="24"/>
                <w:szCs w:val="24"/>
              </w:rPr>
            </w:pPr>
            <w:r w:rsidRPr="00BA5573">
              <w:rPr>
                <w:sz w:val="24"/>
                <w:szCs w:val="24"/>
              </w:rPr>
              <w:t>1.4.</w:t>
            </w:r>
            <w:r w:rsidR="00A924F4" w:rsidRPr="00BA5573">
              <w:rPr>
                <w:sz w:val="24"/>
                <w:szCs w:val="24"/>
              </w:rPr>
              <w:t>Организация и проведение</w:t>
            </w:r>
            <w:r w:rsidR="00EA37EE" w:rsidRPr="00BA5573">
              <w:rPr>
                <w:sz w:val="24"/>
                <w:szCs w:val="24"/>
              </w:rPr>
              <w:t xml:space="preserve"> 4 обучающих мероприятий (</w:t>
            </w:r>
            <w:r w:rsidR="00A924F4" w:rsidRPr="00BA5573">
              <w:rPr>
                <w:sz w:val="24"/>
                <w:szCs w:val="24"/>
              </w:rPr>
              <w:t>интерактивных лекций)</w:t>
            </w:r>
            <w:r w:rsidRPr="00BA5573">
              <w:rPr>
                <w:sz w:val="24"/>
                <w:szCs w:val="24"/>
              </w:rPr>
              <w:t>. Общее количество часов по обучающей программе – 21 час.</w:t>
            </w:r>
          </w:p>
          <w:p w:rsidR="007F6929" w:rsidRPr="00BA5573" w:rsidRDefault="007F6929" w:rsidP="007F6929">
            <w:pPr>
              <w:jc w:val="both"/>
              <w:rPr>
                <w:sz w:val="24"/>
                <w:szCs w:val="24"/>
              </w:rPr>
            </w:pPr>
            <w:r w:rsidRPr="00BA5573">
              <w:rPr>
                <w:sz w:val="24"/>
                <w:szCs w:val="24"/>
              </w:rPr>
              <w:t>1.5.Организация и проведение не менее 12 тренировок и 6 туров пробных соревнований.</w:t>
            </w:r>
          </w:p>
          <w:p w:rsidR="007F6929" w:rsidRPr="00BA5573" w:rsidRDefault="007F6929" w:rsidP="007F6929">
            <w:pPr>
              <w:jc w:val="both"/>
              <w:rPr>
                <w:sz w:val="24"/>
                <w:szCs w:val="24"/>
              </w:rPr>
            </w:pPr>
            <w:r w:rsidRPr="00BA5573">
              <w:rPr>
                <w:sz w:val="24"/>
                <w:szCs w:val="24"/>
              </w:rPr>
              <w:t xml:space="preserve">1.6.Формирование команд участников  - </w:t>
            </w:r>
            <w:r w:rsidR="00BA5573">
              <w:rPr>
                <w:sz w:val="24"/>
                <w:szCs w:val="24"/>
              </w:rPr>
              <w:t>три</w:t>
            </w:r>
            <w:r w:rsidRPr="00BA5573">
              <w:rPr>
                <w:sz w:val="24"/>
                <w:szCs w:val="24"/>
              </w:rPr>
              <w:t xml:space="preserve"> команд</w:t>
            </w:r>
            <w:r w:rsidR="00BA5573">
              <w:rPr>
                <w:sz w:val="24"/>
                <w:szCs w:val="24"/>
              </w:rPr>
              <w:t>ы</w:t>
            </w:r>
            <w:r w:rsidRPr="00BA5573">
              <w:rPr>
                <w:sz w:val="24"/>
                <w:szCs w:val="24"/>
              </w:rPr>
              <w:t xml:space="preserve"> по 10 чел. Всего </w:t>
            </w:r>
            <w:r w:rsidR="00BA5573">
              <w:rPr>
                <w:sz w:val="24"/>
                <w:szCs w:val="24"/>
              </w:rPr>
              <w:t>30</w:t>
            </w:r>
            <w:r w:rsidRPr="00BA5573">
              <w:rPr>
                <w:sz w:val="24"/>
                <w:szCs w:val="24"/>
              </w:rPr>
              <w:t xml:space="preserve"> человек. </w:t>
            </w:r>
          </w:p>
          <w:p w:rsidR="007F6929" w:rsidRPr="00BA5573" w:rsidRDefault="007F6929" w:rsidP="007F6929">
            <w:pPr>
              <w:jc w:val="both"/>
              <w:rPr>
                <w:sz w:val="24"/>
                <w:szCs w:val="24"/>
              </w:rPr>
            </w:pPr>
            <w:r w:rsidRPr="00BA5573">
              <w:rPr>
                <w:sz w:val="24"/>
                <w:szCs w:val="24"/>
              </w:rPr>
              <w:t>1.7.Организация и проведение 9 командных соревнований по 9 видам настольных игр.</w:t>
            </w:r>
          </w:p>
          <w:p w:rsidR="007F6929" w:rsidRPr="00BA5573" w:rsidRDefault="007F6929" w:rsidP="007F6929">
            <w:pPr>
              <w:jc w:val="both"/>
              <w:rPr>
                <w:sz w:val="24"/>
                <w:szCs w:val="24"/>
              </w:rPr>
            </w:pPr>
            <w:r w:rsidRPr="00BA5573">
              <w:rPr>
                <w:sz w:val="24"/>
                <w:szCs w:val="24"/>
              </w:rPr>
              <w:t>1.8.Определение победителей по 9 направлениям соревнований</w:t>
            </w:r>
          </w:p>
          <w:p w:rsidR="007F6929" w:rsidRDefault="007F6929" w:rsidP="007F6929">
            <w:pPr>
              <w:jc w:val="both"/>
              <w:rPr>
                <w:sz w:val="24"/>
                <w:szCs w:val="24"/>
              </w:rPr>
            </w:pPr>
            <w:r w:rsidRPr="00BA5573">
              <w:rPr>
                <w:sz w:val="24"/>
                <w:szCs w:val="24"/>
              </w:rPr>
              <w:t>1.9.Количество привлеченных волонтеров Серебряного возраста  к участию в проекте – 15 человек.</w:t>
            </w:r>
          </w:p>
          <w:p w:rsidR="007F6929" w:rsidRDefault="007F6929" w:rsidP="007F6929">
            <w:pPr>
              <w:jc w:val="both"/>
              <w:rPr>
                <w:i/>
                <w:sz w:val="24"/>
                <w:szCs w:val="24"/>
              </w:rPr>
            </w:pPr>
            <w:r w:rsidRPr="00EA37EE">
              <w:rPr>
                <w:i/>
                <w:sz w:val="24"/>
                <w:szCs w:val="24"/>
              </w:rPr>
              <w:t xml:space="preserve">2.  </w:t>
            </w:r>
            <w:r w:rsidR="00EA37EE" w:rsidRPr="00EA37EE">
              <w:rPr>
                <w:i/>
                <w:sz w:val="24"/>
                <w:szCs w:val="24"/>
              </w:rPr>
              <w:t>Качественные результаты по проекту</w:t>
            </w:r>
          </w:p>
          <w:p w:rsidR="00EA37EE" w:rsidRPr="00EA37EE" w:rsidRDefault="00EA37EE" w:rsidP="007F6929">
            <w:pPr>
              <w:jc w:val="both"/>
              <w:rPr>
                <w:sz w:val="24"/>
                <w:szCs w:val="24"/>
              </w:rPr>
            </w:pPr>
            <w:r w:rsidRPr="00EA37EE">
              <w:rPr>
                <w:sz w:val="24"/>
                <w:szCs w:val="24"/>
              </w:rPr>
              <w:t>2.1.Обеспечение участников проекта знаниями о доступных средствах улучшения состояния здоровья, профилактики и обострения хронических заболеваний.</w:t>
            </w:r>
          </w:p>
          <w:p w:rsidR="00EA37EE" w:rsidRDefault="00EA37EE" w:rsidP="007F6929">
            <w:pPr>
              <w:jc w:val="both"/>
              <w:rPr>
                <w:sz w:val="24"/>
                <w:szCs w:val="24"/>
              </w:rPr>
            </w:pPr>
            <w:r w:rsidRPr="00EA37EE">
              <w:rPr>
                <w:sz w:val="24"/>
                <w:szCs w:val="24"/>
              </w:rPr>
              <w:t>2.2.Популяризация настольных игр среди пожилых людей, углубление знаний об истории, развитии, правилах проведения настольных игр.</w:t>
            </w:r>
          </w:p>
          <w:p w:rsidR="00EA37EE" w:rsidRPr="00EA37EE" w:rsidRDefault="00EA37EE" w:rsidP="007F69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Изменение социальной позиции пожилых людей: из пассивных получателей социальных услуг пожилые люди станут активными участниками социума – участниками командных соревнований.</w:t>
            </w:r>
          </w:p>
          <w:p w:rsidR="00EA37EE" w:rsidRPr="00EA37EE" w:rsidRDefault="00EA37EE" w:rsidP="007F6929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16295" w:rsidRPr="00183204" w:rsidTr="00B54AB9">
        <w:tc>
          <w:tcPr>
            <w:tcW w:w="3936" w:type="dxa"/>
            <w:shd w:val="clear" w:color="auto" w:fill="auto"/>
          </w:tcPr>
          <w:p w:rsidR="00F16295" w:rsidRPr="00183204" w:rsidRDefault="009C5642" w:rsidP="00B54AB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Полученные результаты</w:t>
            </w:r>
            <w:r w:rsidR="00F16295" w:rsidRPr="00183204">
              <w:rPr>
                <w:b/>
                <w:sz w:val="24"/>
                <w:szCs w:val="24"/>
              </w:rPr>
              <w:t xml:space="preserve"> программ/проекта/технологии</w:t>
            </w:r>
          </w:p>
        </w:tc>
        <w:tc>
          <w:tcPr>
            <w:tcW w:w="5528" w:type="dxa"/>
            <w:shd w:val="clear" w:color="auto" w:fill="auto"/>
          </w:tcPr>
          <w:p w:rsidR="00B005F2" w:rsidRPr="00BD770F" w:rsidRDefault="00B005F2" w:rsidP="00B005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BD770F">
              <w:rPr>
                <w:color w:val="000000"/>
                <w:sz w:val="24"/>
                <w:szCs w:val="24"/>
              </w:rPr>
              <w:t xml:space="preserve">Доля </w:t>
            </w:r>
            <w:r w:rsidR="00EA37EE">
              <w:rPr>
                <w:color w:val="000000"/>
                <w:sz w:val="24"/>
                <w:szCs w:val="24"/>
              </w:rPr>
              <w:t>граждан пожилого возраста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D770F">
              <w:rPr>
                <w:color w:val="000000"/>
                <w:sz w:val="24"/>
                <w:szCs w:val="24"/>
              </w:rPr>
              <w:t xml:space="preserve">прошедших </w:t>
            </w:r>
            <w:r w:rsidR="00EA37EE">
              <w:rPr>
                <w:color w:val="000000"/>
                <w:sz w:val="24"/>
                <w:szCs w:val="24"/>
              </w:rPr>
              <w:t xml:space="preserve">обучающие </w:t>
            </w:r>
            <w:r w:rsidR="009C5642">
              <w:rPr>
                <w:color w:val="000000"/>
                <w:sz w:val="24"/>
                <w:szCs w:val="24"/>
              </w:rPr>
              <w:t>теоретические и практические</w:t>
            </w:r>
            <w:r w:rsidR="00EA37EE">
              <w:rPr>
                <w:color w:val="000000"/>
                <w:sz w:val="24"/>
                <w:szCs w:val="24"/>
              </w:rPr>
              <w:t>мероприятия</w:t>
            </w:r>
            <w:r w:rsidR="009A78AC">
              <w:rPr>
                <w:color w:val="000000"/>
                <w:sz w:val="24"/>
                <w:szCs w:val="24"/>
              </w:rPr>
              <w:t>, пробных соревнований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335232">
              <w:rPr>
                <w:color w:val="000000"/>
                <w:sz w:val="24"/>
                <w:szCs w:val="24"/>
              </w:rPr>
              <w:t>100%</w:t>
            </w:r>
            <w:r>
              <w:rPr>
                <w:color w:val="000000"/>
                <w:sz w:val="24"/>
                <w:szCs w:val="24"/>
              </w:rPr>
              <w:t>)</w:t>
            </w:r>
            <w:r w:rsidRPr="00BD770F">
              <w:rPr>
                <w:color w:val="000000"/>
                <w:sz w:val="24"/>
                <w:szCs w:val="24"/>
              </w:rPr>
              <w:t>.</w:t>
            </w:r>
          </w:p>
          <w:p w:rsidR="00B005F2" w:rsidRDefault="00B005F2" w:rsidP="00B54AB9">
            <w:pPr>
              <w:ind w:left="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Доля</w:t>
            </w:r>
            <w:r w:rsidR="009A78AC">
              <w:rPr>
                <w:color w:val="000000"/>
                <w:sz w:val="24"/>
                <w:szCs w:val="24"/>
              </w:rPr>
              <w:t>граждан пожилого возраста</w:t>
            </w:r>
            <w:r>
              <w:rPr>
                <w:color w:val="000000"/>
                <w:sz w:val="24"/>
                <w:szCs w:val="24"/>
              </w:rPr>
              <w:t xml:space="preserve">,принявших участие </w:t>
            </w:r>
            <w:r w:rsidR="009A78AC">
              <w:rPr>
                <w:color w:val="000000"/>
                <w:sz w:val="24"/>
                <w:szCs w:val="24"/>
              </w:rPr>
              <w:t>в командных соревнованиях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335232">
              <w:rPr>
                <w:color w:val="000000"/>
                <w:sz w:val="24"/>
                <w:szCs w:val="24"/>
              </w:rPr>
              <w:t>100%</w:t>
            </w:r>
            <w:r>
              <w:rPr>
                <w:color w:val="000000"/>
                <w:sz w:val="24"/>
                <w:szCs w:val="24"/>
              </w:rPr>
              <w:t>).</w:t>
            </w:r>
          </w:p>
          <w:p w:rsidR="00B005F2" w:rsidRDefault="00B005F2" w:rsidP="00B54AB9">
            <w:pPr>
              <w:ind w:left="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Доля </w:t>
            </w:r>
            <w:r w:rsidR="009A78AC">
              <w:rPr>
                <w:color w:val="000000"/>
                <w:sz w:val="24"/>
                <w:szCs w:val="24"/>
              </w:rPr>
              <w:t>граждан пожилого возраста</w:t>
            </w:r>
            <w:r>
              <w:rPr>
                <w:color w:val="000000"/>
                <w:sz w:val="24"/>
                <w:szCs w:val="24"/>
              </w:rPr>
              <w:t>, п</w:t>
            </w:r>
            <w:r w:rsidRPr="00335232"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sz w:val="24"/>
                <w:szCs w:val="24"/>
              </w:rPr>
              <w:t xml:space="preserve">шедших </w:t>
            </w:r>
            <w:r w:rsidRPr="00335232">
              <w:rPr>
                <w:color w:val="000000"/>
                <w:sz w:val="24"/>
                <w:szCs w:val="24"/>
              </w:rPr>
              <w:t xml:space="preserve"> процедур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335232">
              <w:rPr>
                <w:color w:val="000000"/>
                <w:sz w:val="24"/>
                <w:szCs w:val="24"/>
              </w:rPr>
              <w:t xml:space="preserve"> оценки  эффективности и результативности </w:t>
            </w:r>
            <w:r w:rsidR="009A78AC">
              <w:rPr>
                <w:color w:val="000000"/>
                <w:sz w:val="24"/>
                <w:szCs w:val="24"/>
              </w:rPr>
              <w:t>социального проекта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335232">
              <w:rPr>
                <w:color w:val="000000"/>
                <w:sz w:val="24"/>
                <w:szCs w:val="24"/>
              </w:rPr>
              <w:t>100%</w:t>
            </w:r>
            <w:r>
              <w:rPr>
                <w:color w:val="000000"/>
                <w:sz w:val="24"/>
                <w:szCs w:val="24"/>
              </w:rPr>
              <w:t>).</w:t>
            </w:r>
          </w:p>
          <w:p w:rsidR="00F16295" w:rsidRDefault="00B005F2" w:rsidP="00B54AB9">
            <w:pPr>
              <w:ind w:left="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Доля клиентов с пол</w:t>
            </w:r>
            <w:r w:rsidR="009A78AC">
              <w:rPr>
                <w:color w:val="000000"/>
                <w:sz w:val="24"/>
                <w:szCs w:val="24"/>
              </w:rPr>
              <w:t>ожительной динамикой (не менее 9</w:t>
            </w:r>
            <w:r>
              <w:rPr>
                <w:color w:val="000000"/>
                <w:sz w:val="24"/>
                <w:szCs w:val="24"/>
              </w:rPr>
              <w:t>0%).</w:t>
            </w:r>
          </w:p>
          <w:p w:rsidR="00B005F2" w:rsidRDefault="00B005F2" w:rsidP="00B54AB9">
            <w:pPr>
              <w:ind w:left="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Доля к</w:t>
            </w:r>
            <w:r w:rsidR="009A78AC">
              <w:rPr>
                <w:color w:val="000000"/>
                <w:sz w:val="24"/>
                <w:szCs w:val="24"/>
              </w:rPr>
              <w:t>лиентов без динамики (не более1</w:t>
            </w:r>
            <w:r>
              <w:rPr>
                <w:color w:val="000000"/>
                <w:sz w:val="24"/>
                <w:szCs w:val="24"/>
              </w:rPr>
              <w:t>0%).</w:t>
            </w:r>
          </w:p>
          <w:p w:rsidR="00B005F2" w:rsidRPr="00183204" w:rsidRDefault="00B005F2" w:rsidP="009A78AC">
            <w:pPr>
              <w:ind w:left="33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F16295" w:rsidRDefault="00F16295" w:rsidP="00F16295">
      <w:pPr>
        <w:rPr>
          <w:sz w:val="24"/>
          <w:szCs w:val="24"/>
        </w:rPr>
      </w:pPr>
    </w:p>
    <w:p w:rsidR="00B54AB9" w:rsidRDefault="00B54AB9"/>
    <w:sectPr w:rsidR="00B54AB9" w:rsidSect="0062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F53"/>
    <w:multiLevelType w:val="multilevel"/>
    <w:tmpl w:val="EF9A6822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7" w:hanging="1800"/>
      </w:pPr>
      <w:rPr>
        <w:rFonts w:hint="default"/>
      </w:rPr>
    </w:lvl>
  </w:abstractNum>
  <w:abstractNum w:abstractNumId="1">
    <w:nsid w:val="12C36B9E"/>
    <w:multiLevelType w:val="hybridMultilevel"/>
    <w:tmpl w:val="92DEDFC0"/>
    <w:lvl w:ilvl="0" w:tplc="E3B06B5A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1BFD7491"/>
    <w:multiLevelType w:val="hybridMultilevel"/>
    <w:tmpl w:val="5E929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75806"/>
    <w:multiLevelType w:val="hybridMultilevel"/>
    <w:tmpl w:val="50A2CF9A"/>
    <w:lvl w:ilvl="0" w:tplc="2E12EE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A95E34"/>
    <w:multiLevelType w:val="hybridMultilevel"/>
    <w:tmpl w:val="1F904322"/>
    <w:lvl w:ilvl="0" w:tplc="C96A69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A1550"/>
    <w:multiLevelType w:val="hybridMultilevel"/>
    <w:tmpl w:val="15E6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943E3"/>
    <w:multiLevelType w:val="hybridMultilevel"/>
    <w:tmpl w:val="249C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41E17"/>
    <w:multiLevelType w:val="hybridMultilevel"/>
    <w:tmpl w:val="1E96CD8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9250394"/>
    <w:multiLevelType w:val="hybridMultilevel"/>
    <w:tmpl w:val="C2EE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953D4"/>
    <w:multiLevelType w:val="multilevel"/>
    <w:tmpl w:val="7EA4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71D09"/>
    <w:multiLevelType w:val="hybridMultilevel"/>
    <w:tmpl w:val="ED068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22C80"/>
    <w:multiLevelType w:val="hybridMultilevel"/>
    <w:tmpl w:val="9E54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D16DB"/>
    <w:multiLevelType w:val="hybridMultilevel"/>
    <w:tmpl w:val="A940B0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E957DF0"/>
    <w:multiLevelType w:val="hybridMultilevel"/>
    <w:tmpl w:val="42D0B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9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6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295"/>
    <w:rsid w:val="00000552"/>
    <w:rsid w:val="000064D0"/>
    <w:rsid w:val="00027F33"/>
    <w:rsid w:val="000735DB"/>
    <w:rsid w:val="002438A0"/>
    <w:rsid w:val="00246EF1"/>
    <w:rsid w:val="003011A1"/>
    <w:rsid w:val="003255B1"/>
    <w:rsid w:val="003A3821"/>
    <w:rsid w:val="004438CF"/>
    <w:rsid w:val="004461BC"/>
    <w:rsid w:val="00452977"/>
    <w:rsid w:val="004E6194"/>
    <w:rsid w:val="005317B2"/>
    <w:rsid w:val="005C3389"/>
    <w:rsid w:val="0062670F"/>
    <w:rsid w:val="00640C87"/>
    <w:rsid w:val="006500B6"/>
    <w:rsid w:val="006B2C09"/>
    <w:rsid w:val="006D5421"/>
    <w:rsid w:val="0073132B"/>
    <w:rsid w:val="00796F56"/>
    <w:rsid w:val="007A2902"/>
    <w:rsid w:val="007B560C"/>
    <w:rsid w:val="007C782F"/>
    <w:rsid w:val="007D0D0C"/>
    <w:rsid w:val="007F6929"/>
    <w:rsid w:val="00836E57"/>
    <w:rsid w:val="00865B7A"/>
    <w:rsid w:val="008C7109"/>
    <w:rsid w:val="00967CF6"/>
    <w:rsid w:val="009A78AC"/>
    <w:rsid w:val="009C5642"/>
    <w:rsid w:val="00A17A59"/>
    <w:rsid w:val="00A56443"/>
    <w:rsid w:val="00A8579A"/>
    <w:rsid w:val="00A924F4"/>
    <w:rsid w:val="00B005F2"/>
    <w:rsid w:val="00B02EC5"/>
    <w:rsid w:val="00B31915"/>
    <w:rsid w:val="00B47843"/>
    <w:rsid w:val="00B54AB9"/>
    <w:rsid w:val="00B96FDD"/>
    <w:rsid w:val="00BA5573"/>
    <w:rsid w:val="00BB4A93"/>
    <w:rsid w:val="00BD59D0"/>
    <w:rsid w:val="00C656B5"/>
    <w:rsid w:val="00D71775"/>
    <w:rsid w:val="00E13520"/>
    <w:rsid w:val="00EA37EE"/>
    <w:rsid w:val="00EA4A00"/>
    <w:rsid w:val="00EC7DDF"/>
    <w:rsid w:val="00EF63CD"/>
    <w:rsid w:val="00F16295"/>
    <w:rsid w:val="00FC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162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F1629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1629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67CF6"/>
  </w:style>
  <w:style w:type="paragraph" w:styleId="a6">
    <w:name w:val="Normal (Web)"/>
    <w:basedOn w:val="a"/>
    <w:uiPriority w:val="99"/>
    <w:unhideWhenUsed/>
    <w:rsid w:val="00967C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0C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C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6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SufiyanovaYR</dc:creator>
  <cp:keywords/>
  <dc:description/>
  <cp:lastModifiedBy>Специалист ОМО 1</cp:lastModifiedBy>
  <cp:revision>18</cp:revision>
  <dcterms:created xsi:type="dcterms:W3CDTF">2015-05-18T09:14:00Z</dcterms:created>
  <dcterms:modified xsi:type="dcterms:W3CDTF">2021-03-26T06:16:00Z</dcterms:modified>
</cp:coreProperties>
</file>