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Объявление о проведении регионального конкурса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инициативных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предоставления в 2027 году субсидии из бюджета Ханты-Мансийского автономного округа – Югры местным бюджетам на указанные цели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Департамент молодежной политики, гражданских инициатив и внешних связей Ханты-Мансийского автономного округа – Югры (далее – организатор конкурса, автономный округ) объявляет о проведении в 2026 году регионального конкурса инициативных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целях пре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2027 году субсидии из бюджета автономного округа местным бюджетам на реализацию инициатив.</w:t>
      </w:r>
      <w:r/>
    </w:p>
    <w:p>
      <w:pPr>
        <w:ind w:firstLine="567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конкурса Фонд «Центр гражданских и социальных инициатив Югры» (далее – Фонд гражданских инициатив, оператор конкурса). </w:t>
      </w:r>
      <w:r/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Участники конкурса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конкурсе принимают участие городские округа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муниципальные районы автономного округа (далее – муниципальное образование) с инициативными проектами жителей, имеющими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них приоритетное значение для решения вопросов местного значения или иных вопросов, право решения, которых представлено органам местного самоуправления в соответствии с Федеральным законом от 20 марта 2025 года № 33-ФЗ «Об общих принципах организации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естного самоуправления в единой системе публичной власти».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Сроки проведения конкурса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Прием документов и заявок для участия в конкурсе осуществляется с 23 июня 2026 года по 23:30 часов 3 июля 2026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Проверка поданных для участия в конкурсе документов </w:t>
      </w: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и заявок с 6 июля 2026 года по 7 июля 2026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Онлайн-голосование для оценки инициативных проектов</w:t>
      </w: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 жителями с 8 июля </w:t>
      </w: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2026 года по 22 июля 2026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Подготовка итогового рейтинг</w:t>
      </w: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ового листа для рассмотрения Комиссией по 7 августа 2026 года.</w:t>
      </w:r>
      <w:bookmarkStart w:id="0" w:name="_GoBack"/>
      <w:r/>
      <w:bookmarkEnd w:id="0"/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a1a1a"/>
          <w:sz w:val="28"/>
          <w:highlight w:val="white"/>
        </w:rPr>
        <w:t xml:space="preserve">Рассмотрение и подписание итогового рейтингового листа Комиссией по 12 августа 2026 года.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green"/>
        </w:rPr>
      </w:r>
      <w:r>
        <w:rPr>
          <w:rFonts w:ascii="Times New Roman" w:hAnsi="Times New Roman" w:eastAsia="Times New Roman" w:cs="Times New Roman"/>
          <w:highlight w:val="green"/>
        </w:rPr>
      </w:r>
      <w:r>
        <w:rPr>
          <w:rFonts w:ascii="Times New Roman" w:hAnsi="Times New Roman" w:eastAsia="Times New Roman" w:cs="Times New Roman"/>
          <w:highlight w:val="green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Порядок участия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Заявка и документы для участия в конкурсе представляются в Фонд гражданских инициатив в форме электронных документов посредством заполнения соответствующих электронных форм, размещенных </w:t>
      </w:r>
      <w:r>
        <w:rPr>
          <w:rFonts w:ascii="Times New Roman" w:hAnsi="Times New Roman"/>
          <w:sz w:val="28"/>
          <w:szCs w:val="28"/>
        </w:rPr>
        <w:t xml:space="preserve">на информационном сервисе «Единый Личный Кабинет Активиста» в информац</w:t>
      </w:r>
      <w:r>
        <w:rPr>
          <w:rFonts w:ascii="Times New Roman" w:hAnsi="Times New Roman"/>
          <w:sz w:val="28"/>
          <w:szCs w:val="28"/>
        </w:rPr>
        <w:t xml:space="preserve">ионно-телекоммуникационной сети Интернет по адресу: www.elkanko.ru (далее – информационный сервис).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Отзыв заявки и документов осуществляется посредством информирования организатора конкурса письмом за подписью главы муниципального образования или руководит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еля исполнительно-распорядительного органа муниципального образования.</w:t>
      </w:r>
      <w:r/>
    </w:p>
    <w:p>
      <w:pPr>
        <w:ind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Ограничения по количеству подаваемых заявок для участия в конкурсе от муниципального образования отсутствуют.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Документы, представляемые для участия в конкурсе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Заявка для участия в конкурсе с указанием сведений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об инициативном проекте.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Письмо за подписью главы муниципального образования или руководителя исполнительно-распорядительного органа муниципального образования о направлении заявки, включающее подтверждени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 соответствия инициативного проекта требованиям действующего законодательства Российской Федерации, с указанием перечня вопросов местного значения или иных вопросов, право решения которых предоставлено органам местного самоуправления, на решение которых 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аправлена 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еализация инициативного проекта,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а также подтверждение применения фирменного стиля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Протокол(ы) схода или собрания граждан, в том числе собрание гражда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 по вопросам осуществления территориального общественного самоуправления на части территории муниципального образования, результаты опроса гражд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ан и (или)</w:t>
      </w:r>
      <w:r>
        <w:rPr>
          <w:rFonts w:ascii="Calibri" w:hAnsi="Calibri" w:eastAsia="Calibri" w:cs="Calibri"/>
          <w:color w:val="00000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иных способов выявления мнения населения, подтверждающие поддержку инициативного проекта жителями муниципального образования или его части: о выборе проекта; об определении параметров проекта; о размере и форме вклада жителей, организаций и прив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лечении других внебюджетных источников в реализацию проекта; о формировании инициативной группы путем регистрации жителей на сходе, собрании; лист регистрации участников собрания жителей.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Техническую документацию и (или) утвержденную проектно-сметную докум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ентацию (в случаях, предусмотренных законодательством), дизайн-проекты и (или) сметную документацию (в случаях, когда законодательством разработка проектно-сметной документации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br/>
        <w:t xml:space="preserve">не предусмотрена).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</w:p>
    <w:p>
      <w:pPr>
        <w:jc w:val="center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Требования к составу сведений об инициативном проекте в зая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вке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Наименование инициативного проекта;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Описание инициативного проекта;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Положительное влияние инициативного проекта на достижение национальных целей развития и реализацию национальных проектов;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Финансирование инициативного проекта, с приложением подтвержда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ющих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Типология инициативного проекта;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Сведения об использовании средств массовой информации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br/>
        <w:t xml:space="preserve">и других средств информирования населения в процессе определения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проблемы, на решение которой направлена реализация инициативного проекта, подтвержденны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е фото и (или) видеоматериалами;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Комплекс мер, направленный на обеспечение долгосрочного функционирования и сохранности результата реализации инициативного проекта, предотвращение и профилактику вандализма;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Сведения об инициаторе(ах) проекта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и видеовизитка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Сведения о представителе от муниципального образования;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Дополнительная информация, комментарии;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Презентация и (или) дизайн-макет инициативного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Максимальный размер субсидии, предоставляемой победителям конкурса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firstLine="540"/>
        <w:jc w:val="both"/>
        <w:spacing w:after="0" w:line="240" w:lineRule="auto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Размер предоставляемой субсидии из бюджета автономного округа муниципальному образованию на реализацию инициативного проекта определяется отдельно по каждому инициативному проекту, ставшему победителем в конкурсе, исходя из оценки затрат на его реализацию,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учетом предельного уровня софинансирования расходного обязательства муниципального образования,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но не более 7 миллионов рублей. </w:t>
      </w:r>
      <w:r>
        <w:rPr>
          <w:b/>
          <w:bCs/>
        </w:rPr>
      </w:r>
      <w:r>
        <w:rPr>
          <w:b/>
          <w:bCs/>
        </w:rPr>
      </w:r>
    </w:p>
    <w:p>
      <w:pPr>
        <w:ind w:firstLine="540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Уровень софинансирования расходных обязательств муниципального образования на реализацию одного инициативного проекта за сче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 средств бюджета автономного округа и средств местных бюджетов устанавливается с учетом уровня расчетной бюджетной обеспеченности:</w:t>
      </w:r>
      <w:r/>
    </w:p>
    <w:p>
      <w:pPr>
        <w:ind w:firstLine="540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уровне расчетной бюджетной обеспеченности от 0,1 до 2 - за счет средств автономного округа финансируется не более 70%,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счет средств местных бюджетов - не менее 30% (с учетом внесенных инициативных платежей) от стоимости инициативного проекта;</w:t>
      </w:r>
      <w:r/>
    </w:p>
    <w:p>
      <w:pPr>
        <w:ind w:firstLine="540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уровне расчетной бюджетной обеспеченности свыше 2 - за счет средств автономного округа финансируется не более 65%, за счет сре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дств местных бюджетов - не менее 35% (с учетом внесенных инициативных платежей) от стоимости инициативного проекта.</w:t>
      </w:r>
      <w:r/>
    </w:p>
    <w:p>
      <w:pPr>
        <w:ind w:firstLine="540"/>
        <w:jc w:val="both"/>
        <w:spacing w:after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отношении субсидий, предоставляемых Белоярскому муниципальному району автономного округа и Березовскому муниципальному району автономного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округа, входящим в состав сухопутных территорий Арктической зоны Российской Федерации, предельный уровень софинансирования расходного обязательства муниципального образования из бюджета автономного округа устанавливается абзацем вторым пункта 20 Правил фор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мирования, предоставления и распределения субсидий из бюджета автономного округа местным бюджетам, утвержденных постановлением Правительства автономного округа от 6 декабря 2019 года № 475-п.</w:t>
      </w:r>
      <w:r/>
    </w:p>
    <w:p>
      <w:pPr>
        <w:ind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реализации инициативного проекта, на который предоставляется субсидия – 2027 год.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67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Контактная информация для получения консультаций по вопросам проведения конкурса</w:t>
      </w:r>
      <w:r/>
    </w:p>
    <w:p>
      <w:pPr>
        <w:ind w:firstLine="709"/>
        <w:jc w:val="both"/>
        <w:spacing w:after="0" w:line="74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конкурса: Фонд «Центр гражданских и социальных инициатив Югры». </w:t>
      </w:r>
      <w:r/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 электронной почты: cib@ugranko.ru;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74" w:lineRule="atLeast"/>
        <w:shd w:val="clear" w:color="ffffff" w:fill="ffffff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Телефон: 8 (3467) 35-11-30, добавочные номера: #575, #570, #580.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9">
    <w:name w:val="Heading 1 Char"/>
    <w:basedOn w:val="687"/>
    <w:link w:val="6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2 Char"/>
    <w:basedOn w:val="687"/>
    <w:link w:val="679"/>
    <w:uiPriority w:val="9"/>
    <w:rPr>
      <w:rFonts w:ascii="Liberation Sans" w:hAnsi="Liberation Sans" w:eastAsia="Liberation Sans" w:cs="Liberation Sans"/>
      <w:sz w:val="34"/>
    </w:rPr>
  </w:style>
  <w:style w:type="character" w:styleId="661">
    <w:name w:val="Heading 3 Char"/>
    <w:basedOn w:val="687"/>
    <w:link w:val="6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4 Char"/>
    <w:basedOn w:val="687"/>
    <w:link w:val="6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5 Char"/>
    <w:basedOn w:val="687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6 Char"/>
    <w:basedOn w:val="687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7 Char"/>
    <w:basedOn w:val="687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6">
    <w:name w:val="Heading 8 Char"/>
    <w:basedOn w:val="687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7">
    <w:name w:val="Heading 9 Char"/>
    <w:basedOn w:val="687"/>
    <w:link w:val="6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8">
    <w:name w:val="Title Char"/>
    <w:basedOn w:val="687"/>
    <w:link w:val="700"/>
    <w:uiPriority w:val="10"/>
    <w:rPr>
      <w:sz w:val="48"/>
      <w:szCs w:val="48"/>
    </w:rPr>
  </w:style>
  <w:style w:type="character" w:styleId="669">
    <w:name w:val="Subtitle Char"/>
    <w:basedOn w:val="687"/>
    <w:link w:val="702"/>
    <w:uiPriority w:val="11"/>
    <w:rPr>
      <w:sz w:val="24"/>
      <w:szCs w:val="24"/>
    </w:rPr>
  </w:style>
  <w:style w:type="character" w:styleId="670">
    <w:name w:val="Quote Char"/>
    <w:link w:val="704"/>
    <w:uiPriority w:val="29"/>
    <w:rPr>
      <w:i/>
    </w:rPr>
  </w:style>
  <w:style w:type="character" w:styleId="671">
    <w:name w:val="Intense Quote Char"/>
    <w:link w:val="706"/>
    <w:uiPriority w:val="30"/>
    <w:rPr>
      <w:i/>
    </w:rPr>
  </w:style>
  <w:style w:type="character" w:styleId="672">
    <w:name w:val="Header Char"/>
    <w:basedOn w:val="687"/>
    <w:link w:val="708"/>
    <w:uiPriority w:val="99"/>
  </w:style>
  <w:style w:type="character" w:styleId="673">
    <w:name w:val="Footer Char"/>
    <w:basedOn w:val="687"/>
    <w:link w:val="710"/>
    <w:uiPriority w:val="99"/>
  </w:style>
  <w:style w:type="character" w:styleId="674">
    <w:name w:val="Caption Char"/>
    <w:basedOn w:val="687"/>
    <w:link w:val="712"/>
    <w:uiPriority w:val="35"/>
    <w:rPr>
      <w:b/>
      <w:bCs/>
      <w:color w:val="4f81bd" w:themeColor="accent1"/>
      <w:sz w:val="18"/>
      <w:szCs w:val="18"/>
    </w:rPr>
  </w:style>
  <w:style w:type="character" w:styleId="675">
    <w:name w:val="Footnote Text Char"/>
    <w:link w:val="841"/>
    <w:uiPriority w:val="99"/>
    <w:rPr>
      <w:sz w:val="18"/>
    </w:rPr>
  </w:style>
  <w:style w:type="character" w:styleId="676">
    <w:name w:val="Endnote Text Char"/>
    <w:link w:val="844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1" w:customStyle="1">
    <w:name w:val="Заголовок 2 Знак"/>
    <w:basedOn w:val="687"/>
    <w:link w:val="679"/>
    <w:uiPriority w:val="9"/>
    <w:rPr>
      <w:rFonts w:ascii="Liberation Sans" w:hAnsi="Liberation Sans" w:eastAsia="Liberation Sans" w:cs="Liberation Sans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9">
    <w:name w:val="No Spacing"/>
    <w:uiPriority w:val="1"/>
    <w:qFormat/>
    <w:pPr>
      <w:spacing w:after="0" w:line="240" w:lineRule="auto"/>
    </w:pPr>
  </w:style>
  <w:style w:type="paragraph" w:styleId="700">
    <w:name w:val="Title"/>
    <w:basedOn w:val="677"/>
    <w:next w:val="677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 w:customStyle="1">
    <w:name w:val="Название Знак"/>
    <w:basedOn w:val="687"/>
    <w:link w:val="700"/>
    <w:uiPriority w:val="10"/>
    <w:rPr>
      <w:sz w:val="48"/>
      <w:szCs w:val="48"/>
    </w:rPr>
  </w:style>
  <w:style w:type="paragraph" w:styleId="702">
    <w:name w:val="Subtitle"/>
    <w:basedOn w:val="677"/>
    <w:next w:val="677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 w:customStyle="1">
    <w:name w:val="Подзаголовок Знак"/>
    <w:basedOn w:val="687"/>
    <w:link w:val="702"/>
    <w:uiPriority w:val="11"/>
    <w:rPr>
      <w:sz w:val="24"/>
      <w:szCs w:val="24"/>
    </w:rPr>
  </w:style>
  <w:style w:type="paragraph" w:styleId="704">
    <w:name w:val="Quote"/>
    <w:basedOn w:val="677"/>
    <w:next w:val="677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7"/>
    <w:next w:val="677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77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87"/>
    <w:link w:val="708"/>
    <w:uiPriority w:val="99"/>
  </w:style>
  <w:style w:type="paragraph" w:styleId="710">
    <w:name w:val="Footer"/>
    <w:basedOn w:val="67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Нижний колонтитул Знак"/>
    <w:basedOn w:val="687"/>
    <w:link w:val="710"/>
    <w:uiPriority w:val="99"/>
  </w:style>
  <w:style w:type="paragraph" w:styleId="712">
    <w:name w:val="Caption"/>
    <w:basedOn w:val="677"/>
    <w:next w:val="677"/>
    <w:link w:val="7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3" w:customStyle="1">
    <w:name w:val="Название объекта Знак"/>
    <w:basedOn w:val="687"/>
    <w:link w:val="712"/>
    <w:uiPriority w:val="35"/>
    <w:rPr>
      <w:b/>
      <w:bCs/>
      <w:color w:val="5b9bd5" w:themeColor="accent1"/>
      <w:sz w:val="18"/>
      <w:szCs w:val="18"/>
    </w:rPr>
  </w:style>
  <w:style w:type="table" w:styleId="714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4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8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8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7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1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5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9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563c1" w:themeColor="hyperlink"/>
      <w:u w:val="single"/>
    </w:rPr>
  </w:style>
  <w:style w:type="paragraph" w:styleId="841">
    <w:name w:val="footnote text"/>
    <w:basedOn w:val="677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87"/>
    <w:uiPriority w:val="99"/>
    <w:unhideWhenUsed/>
    <w:rPr>
      <w:vertAlign w:val="superscript"/>
    </w:rPr>
  </w:style>
  <w:style w:type="paragraph" w:styleId="844">
    <w:name w:val="endnote text"/>
    <w:basedOn w:val="677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87"/>
    <w:uiPriority w:val="99"/>
    <w:semiHidden/>
    <w:unhideWhenUsed/>
    <w:rPr>
      <w:vertAlign w:val="superscript"/>
    </w:rPr>
  </w:style>
  <w:style w:type="paragraph" w:styleId="847">
    <w:name w:val="toc 1"/>
    <w:basedOn w:val="677"/>
    <w:next w:val="677"/>
    <w:uiPriority w:val="39"/>
    <w:unhideWhenUsed/>
    <w:pPr>
      <w:spacing w:after="57"/>
    </w:pPr>
  </w:style>
  <w:style w:type="paragraph" w:styleId="848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9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0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1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2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3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4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5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7"/>
    <w:next w:val="677"/>
    <w:uiPriority w:val="99"/>
    <w:unhideWhenUsed/>
    <w:pPr>
      <w:spacing w:after="0"/>
    </w:pPr>
  </w:style>
  <w:style w:type="paragraph" w:styleId="858">
    <w:name w:val="List Paragraph"/>
    <w:basedOn w:val="6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Петрова</dc:creator>
  <cp:keywords/>
  <dc:description/>
  <cp:lastModifiedBy>PUROVETSIM</cp:lastModifiedBy>
  <cp:revision>9</cp:revision>
  <dcterms:created xsi:type="dcterms:W3CDTF">2026-06-11T06:10:00Z</dcterms:created>
  <dcterms:modified xsi:type="dcterms:W3CDTF">2026-07-07T05:20:07Z</dcterms:modified>
</cp:coreProperties>
</file>